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CD" w:rsidRPr="00121AD3" w:rsidRDefault="00180907" w:rsidP="0065691B">
      <w:pPr>
        <w:shd w:val="clear" w:color="auto" w:fill="FFFFFF"/>
        <w:spacing w:line="240" w:lineRule="auto"/>
        <w:jc w:val="both"/>
        <w:rPr>
          <w:rFonts w:ascii="Times New Roman" w:eastAsia="Times New Roman" w:hAnsi="Times New Roman" w:cs="Times New Roman"/>
          <w:color w:val="1F497D" w:themeColor="text2"/>
          <w:sz w:val="24"/>
          <w:szCs w:val="24"/>
          <w:lang w:eastAsia="tr-TR"/>
        </w:rPr>
      </w:pPr>
      <w:r w:rsidRPr="00121AD3">
        <w:rPr>
          <w:rFonts w:ascii="Times New Roman" w:eastAsia="Times New Roman" w:hAnsi="Times New Roman" w:cs="Times New Roman"/>
          <w:b/>
          <w:bCs/>
          <w:color w:val="1F497D" w:themeColor="text2"/>
          <w:sz w:val="24"/>
          <w:szCs w:val="24"/>
          <w:lang w:eastAsia="tr-TR"/>
        </w:rPr>
        <w:t xml:space="preserve">ERASMUS+ KA171 ÖĞRENİM </w:t>
      </w:r>
      <w:r w:rsidR="000746CD" w:rsidRPr="00121AD3">
        <w:rPr>
          <w:rFonts w:ascii="Times New Roman" w:eastAsia="Times New Roman" w:hAnsi="Times New Roman" w:cs="Times New Roman"/>
          <w:b/>
          <w:bCs/>
          <w:color w:val="1F497D" w:themeColor="text2"/>
          <w:sz w:val="24"/>
          <w:szCs w:val="24"/>
          <w:lang w:eastAsia="tr-TR"/>
        </w:rPr>
        <w:t>HAREKETLİLİĞİ BAŞVURU İLANI</w:t>
      </w:r>
      <w:r w:rsidR="0065691B">
        <w:rPr>
          <w:rFonts w:ascii="Times New Roman" w:eastAsia="Times New Roman" w:hAnsi="Times New Roman" w:cs="Times New Roman"/>
          <w:b/>
          <w:bCs/>
          <w:color w:val="1F497D" w:themeColor="text2"/>
          <w:sz w:val="24"/>
          <w:szCs w:val="24"/>
          <w:lang w:eastAsia="tr-TR"/>
        </w:rPr>
        <w:t>-2. ÇAĞRI</w:t>
      </w:r>
    </w:p>
    <w:p w:rsidR="000B30C8" w:rsidRPr="00BB27E3" w:rsidRDefault="000B30C8" w:rsidP="0065691B">
      <w:pPr>
        <w:shd w:val="clear" w:color="auto" w:fill="FFFFFF"/>
        <w:spacing w:line="240" w:lineRule="auto"/>
        <w:jc w:val="both"/>
        <w:rPr>
          <w:rFonts w:ascii="Times New Roman" w:eastAsia="Times New Roman" w:hAnsi="Times New Roman" w:cs="Times New Roman"/>
          <w:b/>
          <w:bCs/>
          <w:color w:val="000000"/>
          <w:sz w:val="24"/>
          <w:szCs w:val="24"/>
          <w:lang w:eastAsia="tr-TR"/>
        </w:rPr>
      </w:pPr>
      <w:r w:rsidRPr="00BB27E3">
        <w:rPr>
          <w:rFonts w:ascii="Times New Roman" w:eastAsia="Times New Roman" w:hAnsi="Times New Roman" w:cs="Times New Roman"/>
          <w:b/>
          <w:bCs/>
          <w:color w:val="000000"/>
          <w:sz w:val="24"/>
          <w:szCs w:val="24"/>
          <w:lang w:eastAsia="tr-TR"/>
        </w:rPr>
        <w:t>2022-1-TR01-KA171-HED-</w:t>
      </w:r>
      <w:proofErr w:type="gramStart"/>
      <w:r w:rsidRPr="00BB27E3">
        <w:rPr>
          <w:rFonts w:ascii="Times New Roman" w:eastAsia="Times New Roman" w:hAnsi="Times New Roman" w:cs="Times New Roman"/>
          <w:b/>
          <w:bCs/>
          <w:color w:val="000000"/>
          <w:sz w:val="24"/>
          <w:szCs w:val="24"/>
          <w:lang w:eastAsia="tr-TR"/>
        </w:rPr>
        <w:t>000080101</w:t>
      </w:r>
      <w:proofErr w:type="gramEnd"/>
      <w:r w:rsidRPr="00BB27E3">
        <w:rPr>
          <w:rFonts w:ascii="Times New Roman" w:eastAsia="Times New Roman" w:hAnsi="Times New Roman" w:cs="Times New Roman"/>
          <w:b/>
          <w:bCs/>
          <w:color w:val="000000"/>
          <w:sz w:val="24"/>
          <w:szCs w:val="24"/>
          <w:lang w:eastAsia="tr-TR"/>
        </w:rPr>
        <w:t xml:space="preserve"> PROJELERİ KAPSAMINDA ORTAK ÜLKELERLE ERASMUS ÖĞRENİM HAREKETLİLİĞİ </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292B2C"/>
          <w:sz w:val="24"/>
          <w:szCs w:val="24"/>
          <w:lang w:eastAsia="tr-TR"/>
        </w:rPr>
        <w:t> </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b/>
          <w:bCs/>
          <w:color w:val="000000"/>
          <w:sz w:val="24"/>
          <w:szCs w:val="24"/>
          <w:lang w:eastAsia="tr-TR"/>
        </w:rPr>
        <w:t>BAŞ</w:t>
      </w:r>
      <w:r w:rsidRPr="000746CD">
        <w:rPr>
          <w:rFonts w:ascii="Times New Roman" w:eastAsia="Times New Roman" w:hAnsi="Times New Roman" w:cs="Times New Roman"/>
          <w:b/>
          <w:bCs/>
          <w:color w:val="000000"/>
          <w:sz w:val="24"/>
          <w:szCs w:val="24"/>
          <w:lang w:val="de-DE" w:eastAsia="tr-TR"/>
        </w:rPr>
        <w:t>VURU KO</w:t>
      </w:r>
      <w:r w:rsidRPr="000746CD">
        <w:rPr>
          <w:rFonts w:ascii="Times New Roman" w:eastAsia="Times New Roman" w:hAnsi="Times New Roman" w:cs="Times New Roman"/>
          <w:b/>
          <w:bCs/>
          <w:color w:val="000000"/>
          <w:sz w:val="24"/>
          <w:szCs w:val="24"/>
          <w:lang w:eastAsia="tr-TR"/>
        </w:rPr>
        <w:t>ŞULLARI</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spellStart"/>
      <w:r w:rsidRPr="000746CD">
        <w:rPr>
          <w:rFonts w:ascii="Times New Roman" w:eastAsia="Times New Roman" w:hAnsi="Times New Roman" w:cs="Times New Roman"/>
          <w:color w:val="000000"/>
          <w:sz w:val="24"/>
          <w:szCs w:val="24"/>
          <w:lang w:eastAsia="tr-TR"/>
        </w:rPr>
        <w:t>Erasmus</w:t>
      </w:r>
      <w:proofErr w:type="spellEnd"/>
      <w:r w:rsidRPr="000746CD">
        <w:rPr>
          <w:rFonts w:ascii="Times New Roman" w:eastAsia="Times New Roman" w:hAnsi="Times New Roman" w:cs="Times New Roman"/>
          <w:color w:val="000000"/>
          <w:sz w:val="24"/>
          <w:szCs w:val="24"/>
          <w:lang w:eastAsia="tr-TR"/>
        </w:rPr>
        <w:t xml:space="preserve">+ </w:t>
      </w:r>
      <w:r w:rsidR="001D055E" w:rsidRPr="00BB27E3">
        <w:rPr>
          <w:rFonts w:ascii="Times New Roman" w:eastAsia="Times New Roman" w:hAnsi="Times New Roman" w:cs="Times New Roman"/>
          <w:color w:val="000000"/>
          <w:sz w:val="24"/>
          <w:szCs w:val="24"/>
          <w:lang w:eastAsia="tr-TR"/>
        </w:rPr>
        <w:t xml:space="preserve"> KA171 </w:t>
      </w:r>
      <w:r w:rsidRPr="000746CD">
        <w:rPr>
          <w:rFonts w:ascii="Times New Roman" w:eastAsia="Times New Roman" w:hAnsi="Times New Roman" w:cs="Times New Roman"/>
          <w:b/>
          <w:bCs/>
          <w:color w:val="000000"/>
          <w:sz w:val="24"/>
          <w:szCs w:val="24"/>
          <w:lang w:eastAsia="tr-TR"/>
        </w:rPr>
        <w:t xml:space="preserve">Avrupa </w:t>
      </w:r>
      <w:proofErr w:type="spellStart"/>
      <w:r w:rsidRPr="000746CD">
        <w:rPr>
          <w:rFonts w:ascii="Times New Roman" w:eastAsia="Times New Roman" w:hAnsi="Times New Roman" w:cs="Times New Roman"/>
          <w:b/>
          <w:bCs/>
          <w:color w:val="000000"/>
          <w:sz w:val="24"/>
          <w:szCs w:val="24"/>
          <w:lang w:eastAsia="tr-TR"/>
        </w:rPr>
        <w:t>Birliğ</w:t>
      </w:r>
      <w:proofErr w:type="spellEnd"/>
      <w:r w:rsidRPr="000746CD">
        <w:rPr>
          <w:rFonts w:ascii="Times New Roman" w:eastAsia="Times New Roman" w:hAnsi="Times New Roman" w:cs="Times New Roman"/>
          <w:b/>
          <w:bCs/>
          <w:color w:val="000000"/>
          <w:sz w:val="24"/>
          <w:szCs w:val="24"/>
          <w:lang w:val="it-IT" w:eastAsia="tr-TR"/>
        </w:rPr>
        <w:t>i d</w:t>
      </w:r>
      <w:r w:rsidRPr="000746CD">
        <w:rPr>
          <w:rFonts w:ascii="Times New Roman" w:eastAsia="Times New Roman" w:hAnsi="Times New Roman" w:cs="Times New Roman"/>
          <w:b/>
          <w:bCs/>
          <w:color w:val="000000"/>
          <w:sz w:val="24"/>
          <w:szCs w:val="24"/>
          <w:lang w:eastAsia="tr-TR"/>
        </w:rPr>
        <w:t>ışındaki</w:t>
      </w:r>
      <w:r w:rsidRPr="000746CD">
        <w:rPr>
          <w:rFonts w:ascii="Times New Roman" w:eastAsia="Times New Roman" w:hAnsi="Times New Roman" w:cs="Times New Roman"/>
          <w:color w:val="000000"/>
          <w:sz w:val="24"/>
          <w:szCs w:val="24"/>
          <w:lang w:eastAsia="tr-TR"/>
        </w:rPr>
        <w:t> ülkelerdeki ortak üniversitelerle yapılan bir değ</w:t>
      </w:r>
      <w:r w:rsidR="001D055E" w:rsidRPr="00BB27E3">
        <w:rPr>
          <w:rFonts w:ascii="Times New Roman" w:eastAsia="Times New Roman" w:hAnsi="Times New Roman" w:cs="Times New Roman"/>
          <w:color w:val="000000"/>
          <w:sz w:val="24"/>
          <w:szCs w:val="24"/>
          <w:lang w:eastAsia="tr-TR"/>
        </w:rPr>
        <w:t xml:space="preserve">işim programıdır. </w:t>
      </w:r>
      <w:proofErr w:type="spellStart"/>
      <w:r w:rsidR="001D055E" w:rsidRPr="00BB27E3">
        <w:rPr>
          <w:rFonts w:ascii="Times New Roman" w:eastAsia="Times New Roman" w:hAnsi="Times New Roman" w:cs="Times New Roman"/>
          <w:color w:val="000000"/>
          <w:sz w:val="24"/>
          <w:szCs w:val="24"/>
          <w:lang w:eastAsia="tr-TR"/>
        </w:rPr>
        <w:t>Erasmus</w:t>
      </w:r>
      <w:proofErr w:type="spellEnd"/>
      <w:r w:rsidR="001D055E" w:rsidRPr="00BB27E3">
        <w:rPr>
          <w:rFonts w:ascii="Times New Roman" w:eastAsia="Times New Roman" w:hAnsi="Times New Roman" w:cs="Times New Roman"/>
          <w:color w:val="000000"/>
          <w:sz w:val="24"/>
          <w:szCs w:val="24"/>
          <w:lang w:eastAsia="tr-TR"/>
        </w:rPr>
        <w:t>+ KA171</w:t>
      </w:r>
      <w:r w:rsidRPr="000746CD">
        <w:rPr>
          <w:rFonts w:ascii="Times New Roman" w:eastAsia="Times New Roman" w:hAnsi="Times New Roman" w:cs="Times New Roman"/>
          <w:color w:val="000000"/>
          <w:sz w:val="24"/>
          <w:szCs w:val="24"/>
          <w:lang w:eastAsia="tr-TR"/>
        </w:rPr>
        <w:t xml:space="preserve"> projesinde yer alan ülkeler ve kurumlar tabloda verilmiştir. Öğrenci hareketliliği sadece projede belirlenen alanlarda ve proje ortağı kurumlarla yapılacaktır. İlgili ortak ülkedeki başka bir kurumla değişim </w:t>
      </w:r>
      <w:proofErr w:type="spellStart"/>
      <w:r w:rsidRPr="000746CD">
        <w:rPr>
          <w:rFonts w:ascii="Times New Roman" w:eastAsia="Times New Roman" w:hAnsi="Times New Roman" w:cs="Times New Roman"/>
          <w:color w:val="000000"/>
          <w:sz w:val="24"/>
          <w:szCs w:val="24"/>
          <w:lang w:eastAsia="tr-TR"/>
        </w:rPr>
        <w:t>mümkü</w:t>
      </w:r>
      <w:proofErr w:type="spellEnd"/>
      <w:r w:rsidRPr="000746CD">
        <w:rPr>
          <w:rFonts w:ascii="Times New Roman" w:eastAsia="Times New Roman" w:hAnsi="Times New Roman" w:cs="Times New Roman"/>
          <w:color w:val="000000"/>
          <w:sz w:val="24"/>
          <w:szCs w:val="24"/>
          <w:lang w:val="de-DE" w:eastAsia="tr-TR"/>
        </w:rPr>
        <w:t>n de</w:t>
      </w:r>
      <w:proofErr w:type="spellStart"/>
      <w:r w:rsidRPr="000746CD">
        <w:rPr>
          <w:rFonts w:ascii="Times New Roman" w:eastAsia="Times New Roman" w:hAnsi="Times New Roman" w:cs="Times New Roman"/>
          <w:color w:val="000000"/>
          <w:sz w:val="24"/>
          <w:szCs w:val="24"/>
          <w:lang w:eastAsia="tr-TR"/>
        </w:rPr>
        <w:t>ğildir</w:t>
      </w:r>
      <w:proofErr w:type="spellEnd"/>
      <w:r w:rsidRPr="000746CD">
        <w:rPr>
          <w:rFonts w:ascii="Times New Roman" w:eastAsia="Times New Roman" w:hAnsi="Times New Roman" w:cs="Times New Roman"/>
          <w:color w:val="000000"/>
          <w:sz w:val="24"/>
          <w:szCs w:val="24"/>
          <w:lang w:eastAsia="tr-TR"/>
        </w:rPr>
        <w:t>.</w:t>
      </w:r>
    </w:p>
    <w:p w:rsidR="000746CD" w:rsidRPr="00BB27E3" w:rsidRDefault="000746CD" w:rsidP="0065691B">
      <w:pPr>
        <w:shd w:val="clear" w:color="auto" w:fill="FFFFFF"/>
        <w:spacing w:line="240" w:lineRule="auto"/>
        <w:jc w:val="both"/>
        <w:rPr>
          <w:rFonts w:ascii="Times New Roman" w:eastAsia="Times New Roman" w:hAnsi="Times New Roman" w:cs="Times New Roman"/>
          <w:color w:val="000000"/>
          <w:sz w:val="24"/>
          <w:szCs w:val="24"/>
          <w:lang w:eastAsia="tr-TR"/>
        </w:rPr>
      </w:pPr>
      <w:r w:rsidRPr="000746CD">
        <w:rPr>
          <w:rFonts w:ascii="Times New Roman" w:eastAsia="Times New Roman" w:hAnsi="Times New Roman" w:cs="Times New Roman"/>
          <w:color w:val="000000"/>
          <w:sz w:val="24"/>
          <w:szCs w:val="24"/>
          <w:lang w:eastAsia="tr-TR"/>
        </w:rPr>
        <w:t>Başvuru yapabilecek ülke, alan ve kontenjanlar aşağıda verilmiştir.</w:t>
      </w:r>
    </w:p>
    <w:p w:rsidR="00A65A09" w:rsidRPr="00BB27E3" w:rsidRDefault="00A65A09" w:rsidP="0065691B">
      <w:pPr>
        <w:shd w:val="clear" w:color="auto" w:fill="FFFFFF"/>
        <w:spacing w:after="100" w:afterAutospacing="1" w:line="240" w:lineRule="auto"/>
        <w:jc w:val="both"/>
        <w:rPr>
          <w:rFonts w:ascii="Times New Roman" w:eastAsia="Times New Roman" w:hAnsi="Times New Roman" w:cs="Times New Roman"/>
          <w:color w:val="212529"/>
          <w:sz w:val="24"/>
          <w:szCs w:val="24"/>
          <w:lang w:eastAsia="tr-TR"/>
        </w:rPr>
      </w:pPr>
    </w:p>
    <w:tbl>
      <w:tblPr>
        <w:tblStyle w:val="TabloKlavuzu"/>
        <w:tblW w:w="9356" w:type="dxa"/>
        <w:tblInd w:w="-34" w:type="dxa"/>
        <w:tblLayout w:type="fixed"/>
        <w:tblLook w:val="04A0" w:firstRow="1" w:lastRow="0" w:firstColumn="1" w:lastColumn="0" w:noHBand="0" w:noVBand="1"/>
      </w:tblPr>
      <w:tblGrid>
        <w:gridCol w:w="1150"/>
        <w:gridCol w:w="1827"/>
        <w:gridCol w:w="2694"/>
        <w:gridCol w:w="1701"/>
        <w:gridCol w:w="1984"/>
      </w:tblGrid>
      <w:tr w:rsidR="00A65A09" w:rsidRPr="00BB27E3" w:rsidTr="006B6231">
        <w:trPr>
          <w:trHeight w:val="999"/>
        </w:trPr>
        <w:tc>
          <w:tcPr>
            <w:tcW w:w="1150" w:type="dxa"/>
          </w:tcPr>
          <w:p w:rsidR="00A65A09" w:rsidRPr="006B6231" w:rsidRDefault="00A65A09" w:rsidP="0065691B">
            <w:pPr>
              <w:jc w:val="both"/>
              <w:rPr>
                <w:rFonts w:ascii="Times New Roman" w:hAnsi="Times New Roman"/>
                <w:b/>
                <w:color w:val="FF0000"/>
                <w:sz w:val="20"/>
                <w:szCs w:val="20"/>
                <w:u w:val="single"/>
              </w:rPr>
            </w:pPr>
          </w:p>
          <w:p w:rsidR="00A65A09" w:rsidRPr="006B6231" w:rsidRDefault="00A65A09" w:rsidP="0065691B">
            <w:pPr>
              <w:jc w:val="both"/>
              <w:rPr>
                <w:rFonts w:ascii="Times New Roman" w:hAnsi="Times New Roman"/>
                <w:b/>
                <w:color w:val="FF0000"/>
                <w:sz w:val="20"/>
                <w:szCs w:val="20"/>
                <w:u w:val="single"/>
              </w:rPr>
            </w:pPr>
            <w:r w:rsidRPr="006B6231">
              <w:rPr>
                <w:rFonts w:ascii="Times New Roman" w:hAnsi="Times New Roman"/>
                <w:b/>
                <w:color w:val="FF0000"/>
                <w:sz w:val="20"/>
                <w:szCs w:val="20"/>
                <w:u w:val="single"/>
              </w:rPr>
              <w:t>ÜLKE</w:t>
            </w:r>
          </w:p>
        </w:tc>
        <w:tc>
          <w:tcPr>
            <w:tcW w:w="1827" w:type="dxa"/>
          </w:tcPr>
          <w:p w:rsidR="00A65A09" w:rsidRPr="006B6231" w:rsidRDefault="00A65A09" w:rsidP="0065691B">
            <w:pPr>
              <w:jc w:val="both"/>
              <w:rPr>
                <w:rFonts w:ascii="Times New Roman" w:hAnsi="Times New Roman"/>
                <w:b/>
                <w:color w:val="FF0000"/>
                <w:sz w:val="20"/>
                <w:szCs w:val="20"/>
                <w:u w:val="single"/>
              </w:rPr>
            </w:pPr>
          </w:p>
          <w:p w:rsidR="00A65A09" w:rsidRPr="006B6231" w:rsidRDefault="00A65A09" w:rsidP="0065691B">
            <w:pPr>
              <w:jc w:val="both"/>
              <w:rPr>
                <w:rFonts w:ascii="Times New Roman" w:hAnsi="Times New Roman"/>
                <w:b/>
                <w:color w:val="FF0000"/>
                <w:sz w:val="20"/>
                <w:szCs w:val="20"/>
                <w:u w:val="single"/>
              </w:rPr>
            </w:pPr>
            <w:r w:rsidRPr="006B6231">
              <w:rPr>
                <w:rFonts w:ascii="Times New Roman" w:hAnsi="Times New Roman"/>
                <w:b/>
                <w:color w:val="FF0000"/>
                <w:sz w:val="20"/>
                <w:szCs w:val="20"/>
                <w:u w:val="single"/>
              </w:rPr>
              <w:t>ANLAŞMALI ÜNİVERSİTE</w:t>
            </w:r>
          </w:p>
        </w:tc>
        <w:tc>
          <w:tcPr>
            <w:tcW w:w="2694" w:type="dxa"/>
          </w:tcPr>
          <w:p w:rsidR="00A65A09" w:rsidRPr="006B6231" w:rsidRDefault="00A65A09" w:rsidP="0065691B">
            <w:pPr>
              <w:jc w:val="both"/>
              <w:rPr>
                <w:rFonts w:ascii="Times New Roman" w:hAnsi="Times New Roman"/>
                <w:b/>
                <w:color w:val="FF0000"/>
                <w:sz w:val="20"/>
                <w:szCs w:val="20"/>
                <w:u w:val="single"/>
                <w:shd w:val="clear" w:color="auto" w:fill="F5F5F5"/>
              </w:rPr>
            </w:pPr>
          </w:p>
          <w:p w:rsidR="00A65A09" w:rsidRPr="006B6231" w:rsidRDefault="00A65A09" w:rsidP="0065691B">
            <w:pPr>
              <w:jc w:val="both"/>
              <w:rPr>
                <w:rFonts w:ascii="Times New Roman" w:hAnsi="Times New Roman"/>
                <w:b/>
                <w:color w:val="FF0000"/>
                <w:sz w:val="20"/>
                <w:szCs w:val="20"/>
                <w:u w:val="single"/>
              </w:rPr>
            </w:pPr>
            <w:r w:rsidRPr="006B6231">
              <w:rPr>
                <w:rFonts w:ascii="Times New Roman" w:hAnsi="Times New Roman"/>
                <w:b/>
                <w:color w:val="FF0000"/>
                <w:sz w:val="20"/>
                <w:szCs w:val="20"/>
                <w:u w:val="single"/>
              </w:rPr>
              <w:t>ANLAŞMALI BÖLÜMLER</w:t>
            </w:r>
          </w:p>
        </w:tc>
        <w:tc>
          <w:tcPr>
            <w:tcW w:w="1701" w:type="dxa"/>
          </w:tcPr>
          <w:p w:rsidR="00A65A09" w:rsidRPr="006B6231" w:rsidRDefault="00A65A09" w:rsidP="0065691B">
            <w:pPr>
              <w:jc w:val="both"/>
              <w:rPr>
                <w:rFonts w:ascii="Times New Roman" w:hAnsi="Times New Roman"/>
                <w:b/>
                <w:color w:val="FF0000"/>
                <w:sz w:val="20"/>
                <w:szCs w:val="20"/>
                <w:u w:val="single"/>
              </w:rPr>
            </w:pPr>
          </w:p>
          <w:p w:rsidR="00A65A09" w:rsidRPr="006B6231" w:rsidRDefault="00A65A09" w:rsidP="0065691B">
            <w:pPr>
              <w:jc w:val="both"/>
              <w:rPr>
                <w:rFonts w:ascii="Times New Roman" w:hAnsi="Times New Roman"/>
                <w:b/>
                <w:color w:val="FF0000"/>
                <w:sz w:val="20"/>
                <w:szCs w:val="20"/>
                <w:u w:val="single"/>
              </w:rPr>
            </w:pPr>
            <w:r w:rsidRPr="006B6231">
              <w:rPr>
                <w:rFonts w:ascii="Times New Roman" w:hAnsi="Times New Roman"/>
                <w:b/>
                <w:color w:val="FF0000"/>
                <w:sz w:val="20"/>
                <w:szCs w:val="20"/>
                <w:u w:val="single"/>
              </w:rPr>
              <w:t>ÖĞRENİM KADEMESİ</w:t>
            </w:r>
          </w:p>
        </w:tc>
        <w:tc>
          <w:tcPr>
            <w:tcW w:w="1984" w:type="dxa"/>
          </w:tcPr>
          <w:p w:rsidR="00A65A09" w:rsidRPr="006B6231" w:rsidRDefault="00A65A09" w:rsidP="0065691B">
            <w:pPr>
              <w:jc w:val="both"/>
              <w:rPr>
                <w:rFonts w:ascii="Times New Roman" w:hAnsi="Times New Roman"/>
                <w:b/>
                <w:color w:val="FF0000"/>
                <w:sz w:val="20"/>
                <w:szCs w:val="20"/>
                <w:u w:val="single"/>
              </w:rPr>
            </w:pPr>
          </w:p>
          <w:p w:rsidR="00A65A09" w:rsidRPr="006B6231" w:rsidRDefault="00A65A09" w:rsidP="0065691B">
            <w:pPr>
              <w:jc w:val="both"/>
              <w:rPr>
                <w:rFonts w:ascii="Times New Roman" w:hAnsi="Times New Roman"/>
                <w:b/>
                <w:color w:val="FF0000"/>
                <w:sz w:val="20"/>
                <w:szCs w:val="20"/>
                <w:u w:val="single"/>
              </w:rPr>
            </w:pPr>
            <w:r w:rsidRPr="006B6231">
              <w:rPr>
                <w:rFonts w:ascii="Times New Roman" w:hAnsi="Times New Roman"/>
                <w:b/>
                <w:color w:val="FF0000"/>
                <w:sz w:val="20"/>
                <w:szCs w:val="20"/>
                <w:u w:val="single"/>
              </w:rPr>
              <w:t>GÖNDERİLECEK ÖĞRENCİ SAYISI</w:t>
            </w:r>
          </w:p>
          <w:p w:rsidR="00A65A09" w:rsidRPr="006B6231" w:rsidRDefault="00A65A09" w:rsidP="0065691B">
            <w:pPr>
              <w:jc w:val="both"/>
              <w:rPr>
                <w:rFonts w:ascii="Times New Roman" w:hAnsi="Times New Roman"/>
                <w:b/>
                <w:color w:val="FF0000"/>
                <w:sz w:val="20"/>
                <w:szCs w:val="20"/>
                <w:u w:val="single"/>
              </w:rPr>
            </w:pPr>
          </w:p>
        </w:tc>
      </w:tr>
      <w:tr w:rsidR="00A65A09" w:rsidRPr="00BB27E3" w:rsidTr="006B6231">
        <w:trPr>
          <w:trHeight w:val="768"/>
        </w:trPr>
        <w:tc>
          <w:tcPr>
            <w:tcW w:w="1150" w:type="dxa"/>
          </w:tcPr>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b/>
                <w:sz w:val="20"/>
                <w:szCs w:val="20"/>
              </w:rPr>
            </w:pPr>
          </w:p>
          <w:p w:rsidR="00A65A09" w:rsidRPr="006B6231" w:rsidRDefault="007C4EEF" w:rsidP="0065691B">
            <w:pPr>
              <w:jc w:val="both"/>
              <w:rPr>
                <w:rFonts w:ascii="Times New Roman" w:hAnsi="Times New Roman"/>
                <w:b/>
                <w:sz w:val="20"/>
                <w:szCs w:val="20"/>
              </w:rPr>
            </w:pPr>
            <w:r w:rsidRPr="006B6231">
              <w:rPr>
                <w:rFonts w:ascii="Times New Roman" w:hAnsi="Times New Roman"/>
                <w:b/>
                <w:sz w:val="20"/>
                <w:szCs w:val="20"/>
              </w:rPr>
              <w:t>Rusya</w:t>
            </w:r>
          </w:p>
        </w:tc>
        <w:tc>
          <w:tcPr>
            <w:tcW w:w="1827" w:type="dxa"/>
          </w:tcPr>
          <w:p w:rsidR="00A65A09" w:rsidRPr="006B6231" w:rsidRDefault="00A65A09" w:rsidP="0065691B">
            <w:pPr>
              <w:jc w:val="both"/>
              <w:rPr>
                <w:rFonts w:ascii="Times New Roman" w:hAnsi="Times New Roman"/>
                <w:color w:val="000000"/>
                <w:sz w:val="20"/>
                <w:szCs w:val="20"/>
              </w:rPr>
            </w:pPr>
          </w:p>
          <w:p w:rsidR="00A65A09" w:rsidRPr="006B6231" w:rsidRDefault="00A65A09" w:rsidP="0065691B">
            <w:pPr>
              <w:jc w:val="both"/>
              <w:rPr>
                <w:rFonts w:ascii="Times New Roman" w:hAnsi="Times New Roman"/>
                <w:color w:val="000000"/>
                <w:sz w:val="20"/>
                <w:szCs w:val="20"/>
              </w:rPr>
            </w:pPr>
            <w:r w:rsidRPr="006B6231">
              <w:rPr>
                <w:rFonts w:ascii="Times New Roman" w:hAnsi="Times New Roman"/>
                <w:color w:val="000000"/>
                <w:sz w:val="20"/>
                <w:szCs w:val="20"/>
              </w:rPr>
              <w:t xml:space="preserve">Saint Petersburg </w:t>
            </w:r>
            <w:proofErr w:type="spellStart"/>
            <w:r w:rsidRPr="006B6231">
              <w:rPr>
                <w:rFonts w:ascii="Times New Roman" w:hAnsi="Times New Roman"/>
                <w:color w:val="000000"/>
                <w:sz w:val="20"/>
                <w:szCs w:val="20"/>
              </w:rPr>
              <w:t>Electrotechnical</w:t>
            </w:r>
            <w:proofErr w:type="spellEnd"/>
            <w:r w:rsidRPr="006B6231">
              <w:rPr>
                <w:rFonts w:ascii="Times New Roman" w:hAnsi="Times New Roman"/>
                <w:color w:val="000000"/>
                <w:sz w:val="20"/>
                <w:szCs w:val="20"/>
              </w:rPr>
              <w:t xml:space="preserve"> </w:t>
            </w:r>
            <w:proofErr w:type="spellStart"/>
            <w:r w:rsidRPr="006B6231">
              <w:rPr>
                <w:rFonts w:ascii="Times New Roman" w:hAnsi="Times New Roman"/>
                <w:color w:val="000000"/>
                <w:sz w:val="20"/>
                <w:szCs w:val="20"/>
              </w:rPr>
              <w:t>University</w:t>
            </w:r>
            <w:proofErr w:type="spellEnd"/>
            <w:r w:rsidR="00377392" w:rsidRPr="006B6231">
              <w:rPr>
                <w:rFonts w:ascii="Times New Roman" w:hAnsi="Times New Roman"/>
                <w:color w:val="000000"/>
                <w:sz w:val="20"/>
                <w:szCs w:val="20"/>
              </w:rPr>
              <w:t xml:space="preserve"> “LETI”</w:t>
            </w:r>
          </w:p>
          <w:p w:rsidR="00A65A09" w:rsidRPr="006B6231" w:rsidRDefault="00A65A09" w:rsidP="0065691B">
            <w:pPr>
              <w:jc w:val="both"/>
              <w:rPr>
                <w:rFonts w:ascii="Times New Roman" w:hAnsi="Times New Roman"/>
                <w:b/>
                <w:sz w:val="20"/>
                <w:szCs w:val="20"/>
              </w:rPr>
            </w:pPr>
          </w:p>
        </w:tc>
        <w:tc>
          <w:tcPr>
            <w:tcW w:w="2694" w:type="dxa"/>
          </w:tcPr>
          <w:p w:rsidR="00A65A09" w:rsidRPr="006B6231" w:rsidRDefault="00A65A09" w:rsidP="0065691B">
            <w:pPr>
              <w:jc w:val="both"/>
              <w:rPr>
                <w:rFonts w:ascii="Times New Roman" w:hAnsi="Times New Roman"/>
                <w:color w:val="000000"/>
                <w:sz w:val="20"/>
                <w:szCs w:val="20"/>
              </w:rPr>
            </w:pPr>
          </w:p>
          <w:p w:rsidR="00A65A09" w:rsidRPr="006B6231" w:rsidRDefault="00A65A09" w:rsidP="0065691B">
            <w:pPr>
              <w:jc w:val="both"/>
              <w:rPr>
                <w:rFonts w:ascii="Times New Roman" w:hAnsi="Times New Roman"/>
                <w:color w:val="000000"/>
                <w:sz w:val="20"/>
                <w:szCs w:val="20"/>
              </w:rPr>
            </w:pPr>
            <w:r w:rsidRPr="006B6231">
              <w:rPr>
                <w:rFonts w:ascii="Times New Roman" w:hAnsi="Times New Roman"/>
                <w:color w:val="000000"/>
                <w:sz w:val="20"/>
                <w:szCs w:val="20"/>
              </w:rPr>
              <w:t>İngilizce Mütercim ve Tercümanlık Bölümü</w:t>
            </w:r>
          </w:p>
        </w:tc>
        <w:tc>
          <w:tcPr>
            <w:tcW w:w="1701" w:type="dxa"/>
          </w:tcPr>
          <w:p w:rsidR="00A65A09" w:rsidRPr="006B6231" w:rsidRDefault="00A65A09" w:rsidP="0065691B">
            <w:pPr>
              <w:jc w:val="both"/>
              <w:rPr>
                <w:rFonts w:ascii="Times New Roman" w:hAnsi="Times New Roman"/>
                <w:sz w:val="20"/>
                <w:szCs w:val="20"/>
              </w:rPr>
            </w:pP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Lisans</w:t>
            </w: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Yüksek Lisans</w:t>
            </w:r>
          </w:p>
          <w:p w:rsidR="00A65A09" w:rsidRPr="006B6231" w:rsidRDefault="00A65A09" w:rsidP="0065691B">
            <w:pPr>
              <w:jc w:val="both"/>
              <w:rPr>
                <w:rFonts w:ascii="Times New Roman" w:hAnsi="Times New Roman"/>
                <w:b/>
                <w:sz w:val="20"/>
                <w:szCs w:val="20"/>
              </w:rPr>
            </w:pPr>
          </w:p>
        </w:tc>
        <w:tc>
          <w:tcPr>
            <w:tcW w:w="1984" w:type="dxa"/>
          </w:tcPr>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1</w:t>
            </w:r>
          </w:p>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sz w:val="20"/>
                <w:szCs w:val="20"/>
              </w:rPr>
            </w:pPr>
          </w:p>
        </w:tc>
      </w:tr>
      <w:tr w:rsidR="00A65A09" w:rsidRPr="00BB27E3" w:rsidTr="006B6231">
        <w:trPr>
          <w:trHeight w:val="1434"/>
        </w:trPr>
        <w:tc>
          <w:tcPr>
            <w:tcW w:w="1150" w:type="dxa"/>
          </w:tcPr>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b/>
                <w:sz w:val="20"/>
                <w:szCs w:val="20"/>
              </w:rPr>
            </w:pPr>
            <w:r w:rsidRPr="006B6231">
              <w:rPr>
                <w:rFonts w:ascii="Times New Roman" w:hAnsi="Times New Roman"/>
                <w:b/>
                <w:sz w:val="20"/>
                <w:szCs w:val="20"/>
              </w:rPr>
              <w:br/>
            </w:r>
            <w:r w:rsidR="007C4EEF" w:rsidRPr="006B6231">
              <w:rPr>
                <w:rFonts w:ascii="Times New Roman" w:hAnsi="Times New Roman"/>
                <w:b/>
                <w:sz w:val="20"/>
                <w:szCs w:val="20"/>
              </w:rPr>
              <w:t>Kosova</w:t>
            </w:r>
          </w:p>
          <w:p w:rsidR="00A65A09" w:rsidRPr="006B6231" w:rsidRDefault="00A65A09" w:rsidP="0065691B">
            <w:pPr>
              <w:jc w:val="both"/>
              <w:rPr>
                <w:rFonts w:ascii="Times New Roman" w:hAnsi="Times New Roman"/>
                <w:b/>
                <w:sz w:val="20"/>
                <w:szCs w:val="20"/>
              </w:rPr>
            </w:pPr>
          </w:p>
          <w:p w:rsidR="00A65A09" w:rsidRPr="006B6231" w:rsidRDefault="00A65A09" w:rsidP="0065691B">
            <w:pPr>
              <w:jc w:val="both"/>
              <w:rPr>
                <w:rFonts w:ascii="Times New Roman" w:hAnsi="Times New Roman"/>
                <w:b/>
                <w:sz w:val="20"/>
                <w:szCs w:val="20"/>
              </w:rPr>
            </w:pPr>
          </w:p>
        </w:tc>
        <w:tc>
          <w:tcPr>
            <w:tcW w:w="1827" w:type="dxa"/>
          </w:tcPr>
          <w:p w:rsidR="00A65A09" w:rsidRPr="006B6231" w:rsidRDefault="00A65A09" w:rsidP="0065691B">
            <w:pPr>
              <w:jc w:val="both"/>
              <w:rPr>
                <w:rFonts w:ascii="Times New Roman" w:hAnsi="Times New Roman"/>
                <w:color w:val="000000"/>
                <w:sz w:val="20"/>
                <w:szCs w:val="20"/>
              </w:rPr>
            </w:pPr>
          </w:p>
          <w:p w:rsidR="00A65A09" w:rsidRPr="006B6231" w:rsidRDefault="00377392" w:rsidP="0065691B">
            <w:pPr>
              <w:jc w:val="both"/>
              <w:rPr>
                <w:rFonts w:ascii="Times New Roman" w:hAnsi="Times New Roman"/>
                <w:color w:val="000000"/>
                <w:sz w:val="20"/>
                <w:szCs w:val="20"/>
              </w:rPr>
            </w:pPr>
            <w:proofErr w:type="spellStart"/>
            <w:r w:rsidRPr="006B6231">
              <w:rPr>
                <w:rFonts w:ascii="Times New Roman" w:hAnsi="Times New Roman"/>
                <w:color w:val="000000"/>
                <w:sz w:val="20"/>
                <w:szCs w:val="20"/>
              </w:rPr>
              <w:t>Universiteti</w:t>
            </w:r>
            <w:proofErr w:type="spellEnd"/>
            <w:r w:rsidRPr="006B6231">
              <w:rPr>
                <w:rFonts w:ascii="Times New Roman" w:hAnsi="Times New Roman"/>
                <w:color w:val="000000"/>
                <w:sz w:val="20"/>
                <w:szCs w:val="20"/>
              </w:rPr>
              <w:t xml:space="preserve"> </w:t>
            </w:r>
            <w:proofErr w:type="spellStart"/>
            <w:r w:rsidRPr="006B6231">
              <w:rPr>
                <w:rFonts w:ascii="Times New Roman" w:hAnsi="Times New Roman"/>
                <w:color w:val="000000"/>
                <w:sz w:val="20"/>
                <w:szCs w:val="20"/>
              </w:rPr>
              <w:t>Prishtines</w:t>
            </w:r>
            <w:proofErr w:type="spellEnd"/>
          </w:p>
          <w:p w:rsidR="00A65A09" w:rsidRPr="006B6231" w:rsidRDefault="00A65A09" w:rsidP="0065691B">
            <w:pPr>
              <w:jc w:val="both"/>
              <w:rPr>
                <w:rFonts w:ascii="Times New Roman" w:hAnsi="Times New Roman"/>
                <w:b/>
                <w:sz w:val="20"/>
                <w:szCs w:val="20"/>
              </w:rPr>
            </w:pPr>
          </w:p>
        </w:tc>
        <w:tc>
          <w:tcPr>
            <w:tcW w:w="2694" w:type="dxa"/>
          </w:tcPr>
          <w:p w:rsidR="00A65A09" w:rsidRPr="006B6231" w:rsidRDefault="00A65A09" w:rsidP="0065691B">
            <w:pPr>
              <w:jc w:val="both"/>
              <w:rPr>
                <w:rFonts w:ascii="Times New Roman" w:hAnsi="Times New Roman"/>
                <w:color w:val="000000"/>
                <w:sz w:val="20"/>
                <w:szCs w:val="20"/>
              </w:rPr>
            </w:pPr>
          </w:p>
          <w:p w:rsidR="00A65A09" w:rsidRPr="006B6231" w:rsidRDefault="00A65A09" w:rsidP="0065691B">
            <w:pPr>
              <w:jc w:val="both"/>
              <w:rPr>
                <w:rFonts w:ascii="Times New Roman" w:hAnsi="Times New Roman"/>
                <w:color w:val="000000"/>
                <w:sz w:val="20"/>
                <w:szCs w:val="20"/>
              </w:rPr>
            </w:pPr>
            <w:r w:rsidRPr="006B6231">
              <w:rPr>
                <w:rFonts w:ascii="Times New Roman" w:hAnsi="Times New Roman"/>
                <w:color w:val="000000"/>
                <w:sz w:val="20"/>
                <w:szCs w:val="20"/>
              </w:rPr>
              <w:t>Türk Dili ve Edebiyatı Bölümü</w:t>
            </w:r>
          </w:p>
        </w:tc>
        <w:tc>
          <w:tcPr>
            <w:tcW w:w="1701" w:type="dxa"/>
          </w:tcPr>
          <w:p w:rsidR="00A65A09" w:rsidRPr="006B6231" w:rsidRDefault="00A65A09" w:rsidP="0065691B">
            <w:pPr>
              <w:jc w:val="both"/>
              <w:rPr>
                <w:rFonts w:ascii="Times New Roman" w:hAnsi="Times New Roman"/>
                <w:sz w:val="20"/>
                <w:szCs w:val="20"/>
              </w:rPr>
            </w:pP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 xml:space="preserve">Lisans </w:t>
            </w: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Yüksek Lisans</w:t>
            </w:r>
          </w:p>
        </w:tc>
        <w:tc>
          <w:tcPr>
            <w:tcW w:w="1984" w:type="dxa"/>
          </w:tcPr>
          <w:p w:rsidR="00A65A09" w:rsidRPr="006B6231" w:rsidRDefault="00A65A09" w:rsidP="0065691B">
            <w:pPr>
              <w:jc w:val="both"/>
              <w:rPr>
                <w:rFonts w:ascii="Times New Roman" w:hAnsi="Times New Roman"/>
                <w:sz w:val="20"/>
                <w:szCs w:val="20"/>
              </w:rPr>
            </w:pPr>
          </w:p>
          <w:p w:rsidR="00A65A09" w:rsidRPr="006B6231" w:rsidRDefault="00A65A09" w:rsidP="0065691B">
            <w:pPr>
              <w:jc w:val="both"/>
              <w:rPr>
                <w:rFonts w:ascii="Times New Roman" w:hAnsi="Times New Roman"/>
                <w:sz w:val="20"/>
                <w:szCs w:val="20"/>
              </w:rPr>
            </w:pPr>
          </w:p>
          <w:p w:rsidR="00A65A09" w:rsidRPr="006B6231" w:rsidRDefault="00A65A09" w:rsidP="0065691B">
            <w:pPr>
              <w:jc w:val="both"/>
              <w:rPr>
                <w:rFonts w:ascii="Times New Roman" w:hAnsi="Times New Roman"/>
                <w:sz w:val="20"/>
                <w:szCs w:val="20"/>
              </w:rPr>
            </w:pPr>
            <w:r w:rsidRPr="006B6231">
              <w:rPr>
                <w:rFonts w:ascii="Times New Roman" w:hAnsi="Times New Roman"/>
                <w:sz w:val="20"/>
                <w:szCs w:val="20"/>
              </w:rPr>
              <w:t>1</w:t>
            </w:r>
          </w:p>
        </w:tc>
      </w:tr>
    </w:tbl>
    <w:p w:rsidR="00D835BB" w:rsidRDefault="00D835BB" w:rsidP="00D835BB">
      <w:pPr>
        <w:shd w:val="clear" w:color="auto" w:fill="FFFFFF"/>
        <w:spacing w:line="240" w:lineRule="auto"/>
        <w:jc w:val="both"/>
        <w:rPr>
          <w:rFonts w:ascii="Times New Roman" w:eastAsia="Times New Roman" w:hAnsi="Times New Roman" w:cs="Times New Roman"/>
          <w:b/>
          <w:bCs/>
          <w:color w:val="292B2C"/>
          <w:sz w:val="24"/>
          <w:szCs w:val="24"/>
          <w:lang w:eastAsia="tr-TR"/>
        </w:rPr>
      </w:pPr>
      <w:r w:rsidRPr="00D854D5">
        <w:rPr>
          <w:rFonts w:ascii="Times New Roman" w:eastAsia="Times New Roman" w:hAnsi="Times New Roman" w:cs="Times New Roman"/>
          <w:b/>
          <w:bCs/>
          <w:color w:val="292B2C"/>
          <w:sz w:val="24"/>
          <w:szCs w:val="24"/>
          <w:lang w:eastAsia="tr-TR"/>
        </w:rPr>
        <w:t xml:space="preserve">          </w:t>
      </w:r>
    </w:p>
    <w:p w:rsidR="00D835BB" w:rsidRPr="00D854D5" w:rsidRDefault="00D835BB" w:rsidP="00D835BB">
      <w:pPr>
        <w:shd w:val="clear" w:color="auto" w:fill="FFFFFF"/>
        <w:spacing w:line="240" w:lineRule="auto"/>
        <w:jc w:val="both"/>
        <w:rPr>
          <w:rFonts w:ascii="Times New Roman" w:eastAsia="Times New Roman" w:hAnsi="Times New Roman" w:cs="Times New Roman"/>
          <w:color w:val="292B2C"/>
          <w:sz w:val="24"/>
          <w:szCs w:val="24"/>
          <w:lang w:eastAsia="tr-TR"/>
        </w:rPr>
      </w:pPr>
      <w:bookmarkStart w:id="0" w:name="_GoBack"/>
      <w:r w:rsidRPr="00D854D5">
        <w:rPr>
          <w:rFonts w:ascii="Times New Roman" w:eastAsia="Times New Roman" w:hAnsi="Times New Roman" w:cs="Times New Roman"/>
          <w:b/>
          <w:bCs/>
          <w:color w:val="292B2C"/>
          <w:sz w:val="24"/>
          <w:szCs w:val="24"/>
          <w:lang w:eastAsia="tr-TR"/>
        </w:rPr>
        <w:t>Başv</w:t>
      </w:r>
      <w:r>
        <w:rPr>
          <w:rFonts w:ascii="Times New Roman" w:eastAsia="Times New Roman" w:hAnsi="Times New Roman" w:cs="Times New Roman"/>
          <w:b/>
          <w:bCs/>
          <w:color w:val="292B2C"/>
          <w:sz w:val="24"/>
          <w:szCs w:val="24"/>
          <w:lang w:eastAsia="tr-TR"/>
        </w:rPr>
        <w:t>uru Başlangıç Tarihi: </w:t>
      </w:r>
      <w:r>
        <w:rPr>
          <w:rFonts w:ascii="Times New Roman" w:eastAsia="Times New Roman" w:hAnsi="Times New Roman" w:cs="Times New Roman"/>
          <w:b/>
          <w:bCs/>
          <w:color w:val="292B2C"/>
          <w:sz w:val="24"/>
          <w:szCs w:val="24"/>
          <w:highlight w:val="yellow"/>
          <w:lang w:eastAsia="tr-TR"/>
        </w:rPr>
        <w:t>09.12</w:t>
      </w:r>
      <w:r w:rsidRPr="00844AAF">
        <w:rPr>
          <w:rFonts w:ascii="Times New Roman" w:eastAsia="Times New Roman" w:hAnsi="Times New Roman" w:cs="Times New Roman"/>
          <w:b/>
          <w:bCs/>
          <w:color w:val="292B2C"/>
          <w:sz w:val="24"/>
          <w:szCs w:val="24"/>
          <w:highlight w:val="yellow"/>
          <w:lang w:eastAsia="tr-TR"/>
        </w:rPr>
        <w:t>.2024</w:t>
      </w:r>
    </w:p>
    <w:p w:rsidR="00D835BB" w:rsidRPr="00D835BB" w:rsidRDefault="00D835BB" w:rsidP="00D835BB">
      <w:pPr>
        <w:shd w:val="clear" w:color="auto" w:fill="FFFFFF"/>
        <w:spacing w:line="240" w:lineRule="auto"/>
        <w:jc w:val="both"/>
        <w:rPr>
          <w:rFonts w:ascii="Times New Roman" w:eastAsia="Times New Roman" w:hAnsi="Times New Roman" w:cs="Times New Roman"/>
          <w:b/>
          <w:bCs/>
          <w:color w:val="292B2C"/>
          <w:sz w:val="24"/>
          <w:szCs w:val="24"/>
          <w:lang w:eastAsia="tr-TR"/>
        </w:rPr>
      </w:pPr>
      <w:r>
        <w:rPr>
          <w:rFonts w:ascii="Times New Roman" w:eastAsia="Times New Roman" w:hAnsi="Times New Roman" w:cs="Times New Roman"/>
          <w:b/>
          <w:bCs/>
          <w:color w:val="292B2C"/>
          <w:sz w:val="24"/>
          <w:szCs w:val="24"/>
          <w:lang w:eastAsia="tr-TR"/>
        </w:rPr>
        <w:br/>
      </w:r>
      <w:r>
        <w:rPr>
          <w:rFonts w:ascii="Times New Roman" w:eastAsia="Times New Roman" w:hAnsi="Times New Roman" w:cs="Times New Roman"/>
          <w:b/>
          <w:bCs/>
          <w:color w:val="292B2C"/>
          <w:sz w:val="24"/>
          <w:szCs w:val="24"/>
          <w:lang w:eastAsia="tr-TR"/>
        </w:rPr>
        <w:t xml:space="preserve">Başvuru Bitiş Tarihi: </w:t>
      </w:r>
      <w:r>
        <w:rPr>
          <w:rFonts w:ascii="Times New Roman" w:eastAsia="Times New Roman" w:hAnsi="Times New Roman" w:cs="Times New Roman"/>
          <w:b/>
          <w:bCs/>
          <w:color w:val="292B2C"/>
          <w:sz w:val="24"/>
          <w:szCs w:val="24"/>
          <w:highlight w:val="yellow"/>
          <w:lang w:eastAsia="tr-TR"/>
        </w:rPr>
        <w:t>25</w:t>
      </w:r>
      <w:r w:rsidRPr="00844AAF">
        <w:rPr>
          <w:rFonts w:ascii="Times New Roman" w:eastAsia="Times New Roman" w:hAnsi="Times New Roman" w:cs="Times New Roman"/>
          <w:b/>
          <w:bCs/>
          <w:color w:val="292B2C"/>
          <w:sz w:val="24"/>
          <w:szCs w:val="24"/>
          <w:highlight w:val="yellow"/>
          <w:lang w:eastAsia="tr-TR"/>
        </w:rPr>
        <w:t>.12.2024</w:t>
      </w:r>
    </w:p>
    <w:bookmarkEnd w:id="0"/>
    <w:p w:rsidR="003D0222" w:rsidRDefault="003D0222" w:rsidP="0065691B">
      <w:pPr>
        <w:spacing w:line="360" w:lineRule="auto"/>
        <w:jc w:val="both"/>
        <w:rPr>
          <w:rFonts w:ascii="Times New Roman" w:hAnsi="Times New Roman" w:cs="Times New Roman"/>
          <w:b/>
          <w:color w:val="244061" w:themeColor="accent1" w:themeShade="80"/>
          <w:sz w:val="24"/>
          <w:szCs w:val="24"/>
        </w:rPr>
      </w:pPr>
    </w:p>
    <w:p w:rsidR="000746CD" w:rsidRPr="000746CD" w:rsidRDefault="00075091" w:rsidP="0065691B">
      <w:pPr>
        <w:shd w:val="clear" w:color="auto" w:fill="FFFFFF"/>
        <w:spacing w:after="100" w:afterAutospacing="1" w:line="240" w:lineRule="auto"/>
        <w:jc w:val="both"/>
        <w:rPr>
          <w:rFonts w:ascii="Times New Roman" w:eastAsia="Times New Roman" w:hAnsi="Times New Roman" w:cs="Times New Roman"/>
          <w:color w:val="292B2C"/>
          <w:sz w:val="24"/>
          <w:szCs w:val="24"/>
          <w:lang w:eastAsia="tr-TR"/>
        </w:rPr>
      </w:pPr>
      <w:r w:rsidRPr="00BB27E3">
        <w:rPr>
          <w:rFonts w:ascii="Times New Roman" w:eastAsia="Times New Roman" w:hAnsi="Times New Roman" w:cs="Times New Roman"/>
          <w:color w:val="292B2C"/>
          <w:sz w:val="24"/>
          <w:szCs w:val="24"/>
          <w:lang w:eastAsia="tr-TR"/>
        </w:rPr>
        <w:t xml:space="preserve">2024-2025 </w:t>
      </w:r>
      <w:proofErr w:type="spellStart"/>
      <w:r w:rsidRPr="00BB27E3">
        <w:rPr>
          <w:rFonts w:ascii="Times New Roman" w:eastAsia="Times New Roman" w:hAnsi="Times New Roman" w:cs="Times New Roman"/>
          <w:color w:val="292B2C"/>
          <w:sz w:val="24"/>
          <w:szCs w:val="24"/>
          <w:lang w:eastAsia="tr-TR"/>
        </w:rPr>
        <w:t>Erasmus</w:t>
      </w:r>
      <w:proofErr w:type="spellEnd"/>
      <w:r w:rsidRPr="00BB27E3">
        <w:rPr>
          <w:rFonts w:ascii="Times New Roman" w:eastAsia="Times New Roman" w:hAnsi="Times New Roman" w:cs="Times New Roman"/>
          <w:color w:val="292B2C"/>
          <w:sz w:val="24"/>
          <w:szCs w:val="24"/>
          <w:lang w:eastAsia="tr-TR"/>
        </w:rPr>
        <w:t>+ KA171 öğrenim hareketliliğinden yararlanmak isteyen öğrencilerin üniversite tercihlerini </w:t>
      </w:r>
      <w:hyperlink r:id="rId7" w:history="1">
        <w:r w:rsidRPr="00BB27E3">
          <w:rPr>
            <w:rStyle w:val="Kpr"/>
            <w:rFonts w:ascii="Times New Roman" w:eastAsia="Times New Roman" w:hAnsi="Times New Roman" w:cs="Times New Roman"/>
            <w:sz w:val="24"/>
            <w:szCs w:val="24"/>
            <w:lang w:eastAsia="tr-TR"/>
          </w:rPr>
          <w:t>https://turnaportal.ua.gov.tr/</w:t>
        </w:r>
      </w:hyperlink>
      <w:r w:rsidRPr="00BB27E3">
        <w:rPr>
          <w:rFonts w:ascii="Times New Roman" w:eastAsia="Times New Roman" w:hAnsi="Times New Roman" w:cs="Times New Roman"/>
          <w:color w:val="292B2C"/>
          <w:sz w:val="24"/>
          <w:szCs w:val="24"/>
          <w:lang w:eastAsia="tr-TR"/>
        </w:rPr>
        <w:t>   sayfasından e-devlet şifreleri ile  yapmaları gerekmektedir.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            Başvurular ücretsizdir.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2.            Çağ Üniversitesi</w:t>
      </w:r>
      <w:r w:rsidRPr="000746CD">
        <w:rPr>
          <w:rFonts w:ascii="Times New Roman" w:eastAsia="Times New Roman" w:hAnsi="Times New Roman" w:cs="Times New Roman"/>
          <w:color w:val="000000"/>
          <w:sz w:val="24"/>
          <w:szCs w:val="24"/>
          <w:rtl/>
          <w:lang w:eastAsia="tr-TR"/>
        </w:rPr>
        <w:t>’</w:t>
      </w:r>
      <w:r w:rsidRPr="000746CD">
        <w:rPr>
          <w:rFonts w:ascii="Times New Roman" w:eastAsia="Times New Roman" w:hAnsi="Times New Roman" w:cs="Times New Roman"/>
          <w:color w:val="000000"/>
          <w:sz w:val="24"/>
          <w:szCs w:val="24"/>
          <w:lang w:eastAsia="tr-TR"/>
        </w:rPr>
        <w:t>ne kayıtlı tüm tam zamanlı lisans ve doktora öğrencileri başvurabilirler. Başvuru sahibinin hareketlilik yapmayı düşündüğü d</w:t>
      </w:r>
      <w:r w:rsidRPr="000746CD">
        <w:rPr>
          <w:rFonts w:ascii="Times New Roman" w:eastAsia="Times New Roman" w:hAnsi="Times New Roman" w:cs="Times New Roman"/>
          <w:color w:val="000000"/>
          <w:sz w:val="24"/>
          <w:szCs w:val="24"/>
          <w:lang w:val="sv-SE" w:eastAsia="tr-TR"/>
        </w:rPr>
        <w:t>ö</w:t>
      </w:r>
      <w:r w:rsidRPr="000746CD">
        <w:rPr>
          <w:rFonts w:ascii="Times New Roman" w:eastAsia="Times New Roman" w:hAnsi="Times New Roman" w:cs="Times New Roman"/>
          <w:color w:val="000000"/>
          <w:sz w:val="24"/>
          <w:szCs w:val="24"/>
          <w:lang w:eastAsia="tr-TR"/>
        </w:rPr>
        <w:t>nemde tam zamanlı öğrenci olması gerekmektedir.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lastRenderedPageBreak/>
        <w:t>3.            </w:t>
      </w:r>
      <w:proofErr w:type="spellStart"/>
      <w:r w:rsidRPr="000746CD">
        <w:rPr>
          <w:rFonts w:ascii="Times New Roman" w:eastAsia="Times New Roman" w:hAnsi="Times New Roman" w:cs="Times New Roman"/>
          <w:color w:val="000000"/>
          <w:sz w:val="24"/>
          <w:szCs w:val="24"/>
          <w:lang w:val="fr-FR" w:eastAsia="tr-TR"/>
        </w:rPr>
        <w:t>Lisans</w:t>
      </w:r>
      <w:proofErr w:type="spellEnd"/>
      <w:r w:rsidRPr="000746CD">
        <w:rPr>
          <w:rFonts w:ascii="Times New Roman" w:eastAsia="Times New Roman" w:hAnsi="Times New Roman" w:cs="Times New Roman"/>
          <w:color w:val="000000"/>
          <w:sz w:val="24"/>
          <w:szCs w:val="24"/>
          <w:lang w:val="fr-FR" w:eastAsia="tr-TR"/>
        </w:rPr>
        <w:t> </w:t>
      </w:r>
      <w:r w:rsidRPr="000746CD">
        <w:rPr>
          <w:rFonts w:ascii="Times New Roman" w:eastAsia="Times New Roman" w:hAnsi="Times New Roman" w:cs="Times New Roman"/>
          <w:color w:val="000000"/>
          <w:sz w:val="24"/>
          <w:szCs w:val="24"/>
          <w:lang w:eastAsia="tr-TR"/>
        </w:rPr>
        <w:t>öğrencileri Hazırlık sınıfında iken başvuru yapamazlar.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4.            </w:t>
      </w:r>
      <w:proofErr w:type="spellStart"/>
      <w:r w:rsidRPr="000746CD">
        <w:rPr>
          <w:rFonts w:ascii="Times New Roman" w:eastAsia="Times New Roman" w:hAnsi="Times New Roman" w:cs="Times New Roman"/>
          <w:color w:val="000000"/>
          <w:sz w:val="24"/>
          <w:szCs w:val="24"/>
          <w:lang w:val="fr-FR" w:eastAsia="tr-TR"/>
        </w:rPr>
        <w:t>Lisans</w:t>
      </w:r>
      <w:proofErr w:type="spellEnd"/>
      <w:r w:rsidRPr="000746CD">
        <w:rPr>
          <w:rFonts w:ascii="Times New Roman" w:eastAsia="Times New Roman" w:hAnsi="Times New Roman" w:cs="Times New Roman"/>
          <w:color w:val="000000"/>
          <w:sz w:val="24"/>
          <w:szCs w:val="24"/>
          <w:lang w:val="fr-FR" w:eastAsia="tr-TR"/>
        </w:rPr>
        <w:t> </w:t>
      </w:r>
      <w:r w:rsidRPr="000746CD">
        <w:rPr>
          <w:rFonts w:ascii="Times New Roman" w:eastAsia="Times New Roman" w:hAnsi="Times New Roman" w:cs="Times New Roman"/>
          <w:color w:val="000000"/>
          <w:sz w:val="24"/>
          <w:szCs w:val="24"/>
          <w:lang w:eastAsia="tr-TR"/>
        </w:rPr>
        <w:t>öğrencilerinin minimum </w:t>
      </w:r>
      <w:r w:rsidRPr="000746CD">
        <w:rPr>
          <w:rFonts w:ascii="Times New Roman" w:eastAsia="Times New Roman" w:hAnsi="Times New Roman" w:cs="Times New Roman"/>
          <w:b/>
          <w:bCs/>
          <w:color w:val="000000"/>
          <w:sz w:val="24"/>
          <w:szCs w:val="24"/>
          <w:lang w:eastAsia="tr-TR"/>
        </w:rPr>
        <w:t>2.20</w:t>
      </w:r>
      <w:r w:rsidRPr="000746CD">
        <w:rPr>
          <w:rFonts w:ascii="Times New Roman" w:eastAsia="Times New Roman" w:hAnsi="Times New Roman" w:cs="Times New Roman"/>
          <w:color w:val="000000"/>
          <w:sz w:val="24"/>
          <w:szCs w:val="24"/>
          <w:lang w:eastAsia="tr-TR"/>
        </w:rPr>
        <w:t>/4.00, lisansüstü öğrencilerinin minimum </w:t>
      </w:r>
      <w:r w:rsidRPr="000746CD">
        <w:rPr>
          <w:rFonts w:ascii="Times New Roman" w:eastAsia="Times New Roman" w:hAnsi="Times New Roman" w:cs="Times New Roman"/>
          <w:b/>
          <w:bCs/>
          <w:color w:val="000000"/>
          <w:sz w:val="24"/>
          <w:szCs w:val="24"/>
          <w:lang w:eastAsia="tr-TR"/>
        </w:rPr>
        <w:t>2.50</w:t>
      </w:r>
      <w:r w:rsidRPr="000746CD">
        <w:rPr>
          <w:rFonts w:ascii="Times New Roman" w:eastAsia="Times New Roman" w:hAnsi="Times New Roman" w:cs="Times New Roman"/>
          <w:color w:val="000000"/>
          <w:sz w:val="24"/>
          <w:szCs w:val="24"/>
          <w:lang w:eastAsia="tr-TR"/>
        </w:rPr>
        <w:t>/4.00 not ortalamasına sahip olmaları gerekmektedir.</w:t>
      </w:r>
    </w:p>
    <w:p w:rsidR="000746CD" w:rsidRPr="000746CD" w:rsidRDefault="00CC447C"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000000"/>
          <w:sz w:val="24"/>
          <w:szCs w:val="24"/>
          <w:lang w:eastAsia="tr-TR"/>
        </w:rPr>
        <w:t>5</w:t>
      </w:r>
      <w:r w:rsidR="000746CD" w:rsidRPr="000746CD">
        <w:rPr>
          <w:rFonts w:ascii="Times New Roman" w:eastAsia="Times New Roman" w:hAnsi="Times New Roman" w:cs="Times New Roman"/>
          <w:color w:val="000000"/>
          <w:sz w:val="24"/>
          <w:szCs w:val="24"/>
          <w:lang w:eastAsia="tr-TR"/>
        </w:rPr>
        <w:t xml:space="preserve">.          Başvuru yapan öğrencilerin ilgili birim tarafından yapılacak </w:t>
      </w:r>
      <w:proofErr w:type="spellStart"/>
      <w:r w:rsidR="000746CD" w:rsidRPr="000746CD">
        <w:rPr>
          <w:rFonts w:ascii="Times New Roman" w:eastAsia="Times New Roman" w:hAnsi="Times New Roman" w:cs="Times New Roman"/>
          <w:color w:val="000000"/>
          <w:sz w:val="24"/>
          <w:szCs w:val="24"/>
          <w:lang w:eastAsia="tr-TR"/>
        </w:rPr>
        <w:t>Erasmus</w:t>
      </w:r>
      <w:proofErr w:type="spellEnd"/>
      <w:r w:rsidR="000746CD" w:rsidRPr="000746CD">
        <w:rPr>
          <w:rFonts w:ascii="Times New Roman" w:eastAsia="Times New Roman" w:hAnsi="Times New Roman" w:cs="Times New Roman"/>
          <w:color w:val="000000"/>
          <w:sz w:val="24"/>
          <w:szCs w:val="24"/>
          <w:lang w:eastAsia="tr-TR"/>
        </w:rPr>
        <w:t xml:space="preserve"> Dil Sınavına girmeleri gerekmektedir. Başka dil sınavları ya da yeterlik </w:t>
      </w:r>
      <w:r w:rsidR="005E7B6F">
        <w:rPr>
          <w:rFonts w:ascii="Times New Roman" w:eastAsia="Times New Roman" w:hAnsi="Times New Roman" w:cs="Times New Roman"/>
          <w:color w:val="000000"/>
          <w:sz w:val="24"/>
          <w:szCs w:val="24"/>
          <w:lang w:eastAsia="tr-TR"/>
        </w:rPr>
        <w:t>belgeleri kabul edilmeyecektir.</w:t>
      </w:r>
    </w:p>
    <w:p w:rsidR="000746CD" w:rsidRPr="000746CD" w:rsidRDefault="00CC447C"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000000"/>
          <w:sz w:val="24"/>
          <w:szCs w:val="24"/>
          <w:lang w:eastAsia="tr-TR"/>
        </w:rPr>
        <w:t>6</w:t>
      </w:r>
      <w:r w:rsidR="000746CD" w:rsidRPr="000746CD">
        <w:rPr>
          <w:rFonts w:ascii="Times New Roman" w:eastAsia="Times New Roman" w:hAnsi="Times New Roman" w:cs="Times New Roman"/>
          <w:color w:val="000000"/>
          <w:sz w:val="24"/>
          <w:szCs w:val="24"/>
          <w:lang w:eastAsia="tr-TR"/>
        </w:rPr>
        <w:t>.          Öğre</w:t>
      </w:r>
      <w:r w:rsidR="002C6126">
        <w:rPr>
          <w:rFonts w:ascii="Times New Roman" w:eastAsia="Times New Roman" w:hAnsi="Times New Roman" w:cs="Times New Roman"/>
          <w:color w:val="000000"/>
          <w:sz w:val="24"/>
          <w:szCs w:val="24"/>
          <w:lang w:eastAsia="tr-TR"/>
        </w:rPr>
        <w:t>nim hareketliliği süresi en az 2</w:t>
      </w:r>
      <w:r w:rsidR="000746CD" w:rsidRPr="000746CD">
        <w:rPr>
          <w:rFonts w:ascii="Times New Roman" w:eastAsia="Times New Roman" w:hAnsi="Times New Roman" w:cs="Times New Roman"/>
          <w:color w:val="000000"/>
          <w:sz w:val="24"/>
          <w:szCs w:val="24"/>
          <w:lang w:eastAsia="tr-TR"/>
        </w:rPr>
        <w:t xml:space="preserve"> aydır. Bu süre mücbir sebepler dışında azaltılamaz. </w:t>
      </w:r>
      <w:proofErr w:type="spellStart"/>
      <w:r w:rsidR="000746CD" w:rsidRPr="000746CD">
        <w:rPr>
          <w:rFonts w:ascii="Times New Roman" w:eastAsia="Times New Roman" w:hAnsi="Times New Roman" w:cs="Times New Roman"/>
          <w:color w:val="000000"/>
          <w:sz w:val="24"/>
          <w:szCs w:val="24"/>
          <w:lang w:eastAsia="tr-TR"/>
        </w:rPr>
        <w:t>Hareketliliğ</w:t>
      </w:r>
      <w:proofErr w:type="spellEnd"/>
      <w:r w:rsidR="000746CD" w:rsidRPr="000746CD">
        <w:rPr>
          <w:rFonts w:ascii="Times New Roman" w:eastAsia="Times New Roman" w:hAnsi="Times New Roman" w:cs="Times New Roman"/>
          <w:color w:val="000000"/>
          <w:sz w:val="24"/>
          <w:szCs w:val="24"/>
          <w:lang w:val="it-IT" w:eastAsia="tr-TR"/>
        </w:rPr>
        <w:t>in asgari s</w:t>
      </w:r>
      <w:r w:rsidR="000746CD" w:rsidRPr="000746CD">
        <w:rPr>
          <w:rFonts w:ascii="Times New Roman" w:eastAsia="Times New Roman" w:hAnsi="Times New Roman" w:cs="Times New Roman"/>
          <w:color w:val="000000"/>
          <w:sz w:val="24"/>
          <w:szCs w:val="24"/>
          <w:lang w:eastAsia="tr-TR"/>
        </w:rPr>
        <w:t>ürenin altında olması durumunda s</w:t>
      </w:r>
      <w:r w:rsidR="000746CD" w:rsidRPr="000746CD">
        <w:rPr>
          <w:rFonts w:ascii="Times New Roman" w:eastAsia="Times New Roman" w:hAnsi="Times New Roman" w:cs="Times New Roman"/>
          <w:color w:val="000000"/>
          <w:sz w:val="24"/>
          <w:szCs w:val="24"/>
          <w:lang w:val="sv-SE" w:eastAsia="tr-TR"/>
        </w:rPr>
        <w:t>ö</w:t>
      </w:r>
      <w:r w:rsidR="000746CD" w:rsidRPr="000746CD">
        <w:rPr>
          <w:rFonts w:ascii="Times New Roman" w:eastAsia="Times New Roman" w:hAnsi="Times New Roman" w:cs="Times New Roman"/>
          <w:color w:val="000000"/>
          <w:sz w:val="24"/>
          <w:szCs w:val="24"/>
          <w:lang w:eastAsia="tr-TR"/>
        </w:rPr>
        <w:t>z konusu hareketlilik için hibe </w:t>
      </w:r>
      <w:r w:rsidR="000746CD" w:rsidRPr="000746CD">
        <w:rPr>
          <w:rFonts w:ascii="Times New Roman" w:eastAsia="Times New Roman" w:hAnsi="Times New Roman" w:cs="Times New Roman"/>
          <w:color w:val="000000"/>
          <w:sz w:val="24"/>
          <w:szCs w:val="24"/>
          <w:lang w:val="sv-SE" w:eastAsia="tr-TR"/>
        </w:rPr>
        <w:t>ö</w:t>
      </w:r>
      <w:r w:rsidR="000746CD" w:rsidRPr="000746CD">
        <w:rPr>
          <w:rFonts w:ascii="Times New Roman" w:eastAsia="Times New Roman" w:hAnsi="Times New Roman" w:cs="Times New Roman"/>
          <w:color w:val="000000"/>
          <w:sz w:val="24"/>
          <w:szCs w:val="24"/>
          <w:lang w:eastAsia="tr-TR"/>
        </w:rPr>
        <w:t>demesi yapılmaz, öğrenci sıfır hibeli olarak rapor edilir.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         </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b/>
          <w:bCs/>
          <w:color w:val="333333"/>
          <w:sz w:val="24"/>
          <w:szCs w:val="24"/>
          <w:lang w:val="da-DK" w:eastAsia="tr-TR"/>
        </w:rPr>
        <w:t>DE</w:t>
      </w:r>
      <w:r w:rsidRPr="000746CD">
        <w:rPr>
          <w:rFonts w:ascii="Times New Roman" w:eastAsia="Times New Roman" w:hAnsi="Times New Roman" w:cs="Times New Roman"/>
          <w:b/>
          <w:bCs/>
          <w:color w:val="333333"/>
          <w:sz w:val="24"/>
          <w:szCs w:val="24"/>
          <w:lang w:eastAsia="tr-TR"/>
        </w:rPr>
        <w:t>Ğ</w:t>
      </w:r>
      <w:r w:rsidRPr="000746CD">
        <w:rPr>
          <w:rFonts w:ascii="Times New Roman" w:eastAsia="Times New Roman" w:hAnsi="Times New Roman" w:cs="Times New Roman"/>
          <w:b/>
          <w:bCs/>
          <w:color w:val="333333"/>
          <w:sz w:val="24"/>
          <w:szCs w:val="24"/>
          <w:lang w:val="de-DE" w:eastAsia="tr-TR"/>
        </w:rPr>
        <w:t>ERLEND</w:t>
      </w:r>
      <w:r w:rsidRPr="000746CD">
        <w:rPr>
          <w:rFonts w:ascii="Times New Roman" w:eastAsia="Times New Roman" w:hAnsi="Times New Roman" w:cs="Times New Roman"/>
          <w:b/>
          <w:bCs/>
          <w:color w:val="333333"/>
          <w:sz w:val="24"/>
          <w:szCs w:val="24"/>
          <w:lang w:eastAsia="tr-TR"/>
        </w:rPr>
        <w:t>İ</w:t>
      </w:r>
      <w:r w:rsidRPr="000746CD">
        <w:rPr>
          <w:rFonts w:ascii="Times New Roman" w:eastAsia="Times New Roman" w:hAnsi="Times New Roman" w:cs="Times New Roman"/>
          <w:b/>
          <w:bCs/>
          <w:color w:val="333333"/>
          <w:sz w:val="24"/>
          <w:szCs w:val="24"/>
          <w:lang w:val="de-DE" w:eastAsia="tr-TR"/>
        </w:rPr>
        <w:t>RME</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spellStart"/>
      <w:r w:rsidRPr="000746CD">
        <w:rPr>
          <w:rFonts w:ascii="Times New Roman" w:eastAsia="Times New Roman" w:hAnsi="Times New Roman" w:cs="Times New Roman"/>
          <w:color w:val="000000"/>
          <w:sz w:val="24"/>
          <w:szCs w:val="24"/>
          <w:lang w:eastAsia="tr-TR"/>
        </w:rPr>
        <w:t>Erasmus</w:t>
      </w:r>
      <w:proofErr w:type="spellEnd"/>
      <w:r w:rsidRPr="000746CD">
        <w:rPr>
          <w:rFonts w:ascii="Times New Roman" w:eastAsia="Times New Roman" w:hAnsi="Times New Roman" w:cs="Times New Roman"/>
          <w:color w:val="000000"/>
          <w:sz w:val="24"/>
          <w:szCs w:val="24"/>
          <w:lang w:eastAsia="tr-TR"/>
        </w:rPr>
        <w:t>+ Uluslararası Kredi Hareketliliği başvurularını değerlendirmede kullanılacak </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lçütler</w:t>
      </w:r>
      <w:proofErr w:type="spellEnd"/>
      <w:r w:rsidRPr="000746CD">
        <w:rPr>
          <w:rFonts w:ascii="Times New Roman" w:eastAsia="Times New Roman" w:hAnsi="Times New Roman" w:cs="Times New Roman"/>
          <w:color w:val="000000"/>
          <w:sz w:val="24"/>
          <w:szCs w:val="24"/>
          <w:lang w:eastAsia="tr-TR"/>
        </w:rPr>
        <w:t xml:space="preserve"> ve ağırlıklı puanlar aşağıda verilmiştir:</w:t>
      </w:r>
    </w:p>
    <w:tbl>
      <w:tblPr>
        <w:tblW w:w="8865" w:type="dxa"/>
        <w:tblInd w:w="108" w:type="dxa"/>
        <w:tblBorders>
          <w:top w:val="single" w:sz="8" w:space="0" w:color="000000"/>
          <w:left w:val="single" w:sz="8" w:space="0" w:color="000000"/>
          <w:bottom w:val="single" w:sz="8" w:space="0" w:color="000000"/>
          <w:right w:val="single" w:sz="8" w:space="0" w:color="000000"/>
        </w:tblBorders>
        <w:shd w:val="clear" w:color="auto" w:fill="CED7E7"/>
        <w:tblCellMar>
          <w:top w:w="15" w:type="dxa"/>
          <w:left w:w="15" w:type="dxa"/>
          <w:bottom w:w="15" w:type="dxa"/>
          <w:right w:w="15" w:type="dxa"/>
        </w:tblCellMar>
        <w:tblLook w:val="04A0" w:firstRow="1" w:lastRow="0" w:firstColumn="1" w:lastColumn="0" w:noHBand="0" w:noVBand="1"/>
      </w:tblPr>
      <w:tblGrid>
        <w:gridCol w:w="5100"/>
        <w:gridCol w:w="3765"/>
      </w:tblGrid>
      <w:tr w:rsidR="000746CD" w:rsidRPr="000746CD" w:rsidTr="000746CD">
        <w:trPr>
          <w:trHeight w:val="248"/>
        </w:trPr>
        <w:tc>
          <w:tcPr>
            <w:tcW w:w="51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Akademik başarı düzeyi</w:t>
            </w:r>
          </w:p>
        </w:tc>
        <w:tc>
          <w:tcPr>
            <w:tcW w:w="37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%50 (toplam 100 puan üzerinden)</w:t>
            </w:r>
          </w:p>
        </w:tc>
      </w:tr>
      <w:tr w:rsidR="000746CD" w:rsidRPr="000746CD" w:rsidTr="000746CD">
        <w:trPr>
          <w:trHeight w:val="24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Dil seviyesi</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%50 (toplam 100 puan üzerinden)</w:t>
            </w:r>
          </w:p>
        </w:tc>
      </w:tr>
      <w:tr w:rsidR="000746CD" w:rsidRPr="000746CD" w:rsidTr="000746CD">
        <w:trPr>
          <w:trHeight w:val="24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Şehit ve gazi çocuklarına</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puan</w:t>
            </w:r>
          </w:p>
        </w:tc>
      </w:tr>
      <w:tr w:rsidR="000746CD" w:rsidRPr="000746CD" w:rsidTr="000746CD">
        <w:trPr>
          <w:trHeight w:val="48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Engelli öğrencilere (engelliliğin belgelenmesi kaydıyla)</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puan</w:t>
            </w:r>
          </w:p>
        </w:tc>
      </w:tr>
      <w:tr w:rsidR="000746CD" w:rsidRPr="000746CD" w:rsidTr="000746CD">
        <w:trPr>
          <w:trHeight w:val="72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2828 Sayılı Sosyal Hizmetler Kanunu Kapsamında haklarında korunma, bakım veya barınma kararı alınmış öğrencilere</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puan</w:t>
            </w:r>
          </w:p>
        </w:tc>
      </w:tr>
      <w:tr w:rsidR="000746CD" w:rsidRPr="000746CD" w:rsidTr="000746CD">
        <w:trPr>
          <w:trHeight w:val="24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Daha </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nce</w:t>
            </w:r>
            <w:proofErr w:type="spellEnd"/>
            <w:r w:rsidRPr="000746CD">
              <w:rPr>
                <w:rFonts w:ascii="Times New Roman" w:eastAsia="Times New Roman" w:hAnsi="Times New Roman" w:cs="Times New Roman"/>
                <w:color w:val="000000"/>
                <w:sz w:val="24"/>
                <w:szCs w:val="24"/>
                <w:lang w:eastAsia="tr-TR"/>
              </w:rPr>
              <w:t xml:space="preserve"> yararlanma (hibeli veya </w:t>
            </w:r>
            <w:proofErr w:type="spellStart"/>
            <w:r w:rsidRPr="000746CD">
              <w:rPr>
                <w:rFonts w:ascii="Times New Roman" w:eastAsia="Times New Roman" w:hAnsi="Times New Roman" w:cs="Times New Roman"/>
                <w:color w:val="000000"/>
                <w:sz w:val="24"/>
                <w:szCs w:val="24"/>
                <w:lang w:eastAsia="tr-TR"/>
              </w:rPr>
              <w:t>hibesiz</w:t>
            </w:r>
            <w:proofErr w:type="spellEnd"/>
            <w:r w:rsidRPr="000746CD">
              <w:rPr>
                <w:rFonts w:ascii="Times New Roman" w:eastAsia="Times New Roman" w:hAnsi="Times New Roman" w:cs="Times New Roman"/>
                <w:color w:val="000000"/>
                <w:sz w:val="24"/>
                <w:szCs w:val="24"/>
                <w:lang w:eastAsia="tr-TR"/>
              </w:rPr>
              <w:t>)</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puan</w:t>
            </w:r>
          </w:p>
        </w:tc>
      </w:tr>
      <w:tr w:rsidR="000746CD" w:rsidRPr="000746CD" w:rsidTr="000746CD">
        <w:trPr>
          <w:trHeight w:val="248"/>
        </w:trPr>
        <w:tc>
          <w:tcPr>
            <w:tcW w:w="510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Vatandaşı olunan ülkede hareketliliğe katılma</w:t>
            </w:r>
          </w:p>
        </w:tc>
        <w:tc>
          <w:tcPr>
            <w:tcW w:w="37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746CD" w:rsidRPr="000746CD" w:rsidRDefault="000746CD" w:rsidP="0065691B">
            <w:pPr>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puan</w:t>
            </w:r>
          </w:p>
        </w:tc>
      </w:tr>
    </w:tbl>
    <w:p w:rsidR="00CC447C" w:rsidRDefault="00CC447C" w:rsidP="0065691B">
      <w:pPr>
        <w:shd w:val="clear" w:color="auto" w:fill="FFFFFF"/>
        <w:spacing w:line="240" w:lineRule="auto"/>
        <w:jc w:val="both"/>
        <w:rPr>
          <w:rFonts w:ascii="Times New Roman" w:eastAsia="Times New Roman" w:hAnsi="Times New Roman" w:cs="Times New Roman"/>
          <w:color w:val="000000"/>
          <w:sz w:val="24"/>
          <w:szCs w:val="24"/>
          <w:lang w:eastAsia="tr-TR"/>
        </w:rPr>
      </w:pP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  Akademik başarı düzeyi (Tüm </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lçütler</w:t>
      </w:r>
      <w:proofErr w:type="spellEnd"/>
      <w:r w:rsidRPr="000746CD">
        <w:rPr>
          <w:rFonts w:ascii="Times New Roman" w:eastAsia="Times New Roman" w:hAnsi="Times New Roman" w:cs="Times New Roman"/>
          <w:color w:val="000000"/>
          <w:sz w:val="24"/>
          <w:szCs w:val="24"/>
          <w:lang w:eastAsia="tr-TR"/>
        </w:rPr>
        <w:t xml:space="preserve"> içerisinde, ağırlığı en yüksek olan </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lçüt</w:t>
      </w:r>
      <w:proofErr w:type="spellEnd"/>
      <w:r w:rsidRPr="000746CD">
        <w:rPr>
          <w:rFonts w:ascii="Times New Roman" w:eastAsia="Times New Roman" w:hAnsi="Times New Roman" w:cs="Times New Roman"/>
          <w:color w:val="000000"/>
          <w:sz w:val="24"/>
          <w:szCs w:val="24"/>
          <w:lang w:eastAsia="tr-TR"/>
        </w:rPr>
        <w:t xml:space="preserve"> olmalıdır)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2.  Bütün öğrencilere eşit uygulanabilir bir yabancı dil seviyesi</w:t>
      </w:r>
    </w:p>
    <w:p w:rsidR="000746CD" w:rsidRPr="000746CD" w:rsidRDefault="00C864CC"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000000"/>
          <w:sz w:val="24"/>
          <w:szCs w:val="24"/>
          <w:lang w:eastAsia="tr-TR"/>
        </w:rPr>
        <w:t xml:space="preserve">3.  Şehit ve gazi çocuklarına </w:t>
      </w:r>
      <w:r w:rsidR="000746CD" w:rsidRPr="000746CD">
        <w:rPr>
          <w:rFonts w:ascii="Times New Roman" w:eastAsia="Times New Roman" w:hAnsi="Times New Roman" w:cs="Times New Roman"/>
          <w:color w:val="000000"/>
          <w:sz w:val="24"/>
          <w:szCs w:val="24"/>
          <w:lang w:eastAsia="tr-TR"/>
        </w:rPr>
        <w:t>yükseköğretim kurumu tarafından uygun g</w:t>
      </w:r>
      <w:r w:rsidR="000746CD" w:rsidRPr="000746CD">
        <w:rPr>
          <w:rFonts w:ascii="Times New Roman" w:eastAsia="Times New Roman" w:hAnsi="Times New Roman" w:cs="Times New Roman"/>
          <w:color w:val="000000"/>
          <w:sz w:val="24"/>
          <w:szCs w:val="24"/>
          <w:lang w:val="sv-SE" w:eastAsia="tr-TR"/>
        </w:rPr>
        <w:t>ö</w:t>
      </w:r>
      <w:proofErr w:type="spellStart"/>
      <w:r w:rsidR="000746CD" w:rsidRPr="000746CD">
        <w:rPr>
          <w:rFonts w:ascii="Times New Roman" w:eastAsia="Times New Roman" w:hAnsi="Times New Roman" w:cs="Times New Roman"/>
          <w:color w:val="000000"/>
          <w:sz w:val="24"/>
          <w:szCs w:val="24"/>
          <w:lang w:eastAsia="tr-TR"/>
        </w:rPr>
        <w:t>rülen</w:t>
      </w:r>
      <w:proofErr w:type="spellEnd"/>
      <w:r w:rsidR="000746CD" w:rsidRPr="000746CD">
        <w:rPr>
          <w:rFonts w:ascii="Times New Roman" w:eastAsia="Times New Roman" w:hAnsi="Times New Roman" w:cs="Times New Roman"/>
          <w:color w:val="000000"/>
          <w:sz w:val="24"/>
          <w:szCs w:val="24"/>
          <w:lang w:eastAsia="tr-TR"/>
        </w:rPr>
        <w:t xml:space="preserve"> miktarda</w:t>
      </w:r>
      <w:r>
        <w:rPr>
          <w:rFonts w:ascii="Times New Roman" w:eastAsia="Times New Roman" w:hAnsi="Times New Roman" w:cs="Times New Roman"/>
          <w:color w:val="292B2C"/>
          <w:sz w:val="24"/>
          <w:szCs w:val="24"/>
          <w:lang w:eastAsia="tr-TR"/>
        </w:rPr>
        <w:t xml:space="preserve"> </w:t>
      </w:r>
      <w:r w:rsidR="000746CD" w:rsidRPr="000746CD">
        <w:rPr>
          <w:rFonts w:ascii="Times New Roman" w:eastAsia="Times New Roman" w:hAnsi="Times New Roman" w:cs="Times New Roman"/>
          <w:color w:val="000000"/>
          <w:sz w:val="24"/>
          <w:szCs w:val="24"/>
          <w:lang w:eastAsia="tr-TR"/>
        </w:rPr>
        <w:t>ilave puan (sadece Türkiye Cumhuriyeti vatandaşı katılımcılar için uygulanır)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4.  Engelli öğrenciler için (engelliliğin belgelendirilmesi koşulu ile) yükseköğretim kurumu</w:t>
      </w:r>
      <w:r w:rsidR="00C864CC">
        <w:rPr>
          <w:rFonts w:ascii="Times New Roman" w:eastAsia="Times New Roman" w:hAnsi="Times New Roman" w:cs="Times New Roman"/>
          <w:color w:val="292B2C"/>
          <w:sz w:val="24"/>
          <w:szCs w:val="24"/>
          <w:lang w:eastAsia="tr-TR"/>
        </w:rPr>
        <w:t xml:space="preserve"> </w:t>
      </w:r>
      <w:r w:rsidRPr="000746CD">
        <w:rPr>
          <w:rFonts w:ascii="Times New Roman" w:eastAsia="Times New Roman" w:hAnsi="Times New Roman" w:cs="Times New Roman"/>
          <w:color w:val="000000"/>
          <w:sz w:val="24"/>
          <w:szCs w:val="24"/>
          <w:lang w:eastAsia="tr-TR"/>
        </w:rPr>
        <w:t>tarafından uygun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rülen</w:t>
      </w:r>
      <w:proofErr w:type="spellEnd"/>
      <w:r w:rsidRPr="000746CD">
        <w:rPr>
          <w:rFonts w:ascii="Times New Roman" w:eastAsia="Times New Roman" w:hAnsi="Times New Roman" w:cs="Times New Roman"/>
          <w:color w:val="000000"/>
          <w:sz w:val="24"/>
          <w:szCs w:val="24"/>
          <w:lang w:eastAsia="tr-TR"/>
        </w:rPr>
        <w:t xml:space="preserve"> miktarda ilave puan</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 5.  2828 Sayılı Sosyal Hizmetler Kanunu Kapsamında haklarında koruma,  bakım veya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lastRenderedPageBreak/>
        <w:t>barınma</w:t>
      </w:r>
      <w:proofErr w:type="gramEnd"/>
      <w:r w:rsidRPr="000746CD">
        <w:rPr>
          <w:rFonts w:ascii="Times New Roman" w:eastAsia="Times New Roman" w:hAnsi="Times New Roman" w:cs="Times New Roman"/>
          <w:color w:val="000000"/>
          <w:sz w:val="24"/>
          <w:szCs w:val="24"/>
          <w:lang w:eastAsia="tr-TR"/>
        </w:rPr>
        <w:t xml:space="preserve"> kararı alınmış öğrencilere yükseköğretim kurumu tarafından uygun görülen</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miktarda</w:t>
      </w:r>
      <w:proofErr w:type="gramEnd"/>
      <w:r w:rsidRPr="000746CD">
        <w:rPr>
          <w:rFonts w:ascii="Times New Roman" w:eastAsia="Times New Roman" w:hAnsi="Times New Roman" w:cs="Times New Roman"/>
          <w:color w:val="000000"/>
          <w:sz w:val="24"/>
          <w:szCs w:val="24"/>
          <w:lang w:eastAsia="tr-TR"/>
        </w:rPr>
        <w:t xml:space="preserve"> ilave puan</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 xml:space="preserve">6.  Aynı öğrenim kademesi içerisinde daha önce </w:t>
      </w:r>
      <w:proofErr w:type="spellStart"/>
      <w:r w:rsidRPr="000746CD">
        <w:rPr>
          <w:rFonts w:ascii="Times New Roman" w:eastAsia="Times New Roman" w:hAnsi="Times New Roman" w:cs="Times New Roman"/>
          <w:color w:val="000000"/>
          <w:sz w:val="24"/>
          <w:szCs w:val="24"/>
          <w:lang w:eastAsia="tr-TR"/>
        </w:rPr>
        <w:t>Hayatboyu</w:t>
      </w:r>
      <w:proofErr w:type="spellEnd"/>
      <w:r w:rsidRPr="000746CD">
        <w:rPr>
          <w:rFonts w:ascii="Times New Roman" w:eastAsia="Times New Roman" w:hAnsi="Times New Roman" w:cs="Times New Roman"/>
          <w:color w:val="000000"/>
          <w:sz w:val="24"/>
          <w:szCs w:val="24"/>
          <w:lang w:eastAsia="tr-TR"/>
        </w:rPr>
        <w:t xml:space="preserve"> Öğrenme Programı veya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spellStart"/>
      <w:r w:rsidRPr="000746CD">
        <w:rPr>
          <w:rFonts w:ascii="Times New Roman" w:eastAsia="Times New Roman" w:hAnsi="Times New Roman" w:cs="Times New Roman"/>
          <w:color w:val="000000"/>
          <w:sz w:val="24"/>
          <w:szCs w:val="24"/>
          <w:lang w:eastAsia="tr-TR"/>
        </w:rPr>
        <w:t>Erasmus</w:t>
      </w:r>
      <w:proofErr w:type="spellEnd"/>
      <w:r w:rsidRPr="000746CD">
        <w:rPr>
          <w:rFonts w:ascii="Times New Roman" w:eastAsia="Times New Roman" w:hAnsi="Times New Roman" w:cs="Times New Roman"/>
          <w:color w:val="000000"/>
          <w:sz w:val="24"/>
          <w:szCs w:val="24"/>
          <w:lang w:eastAsia="tr-TR"/>
        </w:rPr>
        <w:t>+ kapsamında yükseköğrenim öğrenim veya staj hareketliliğinden hibeli veya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spellStart"/>
      <w:proofErr w:type="gramStart"/>
      <w:r w:rsidRPr="000746CD">
        <w:rPr>
          <w:rFonts w:ascii="Times New Roman" w:eastAsia="Times New Roman" w:hAnsi="Times New Roman" w:cs="Times New Roman"/>
          <w:color w:val="000000"/>
          <w:sz w:val="24"/>
          <w:szCs w:val="24"/>
          <w:lang w:eastAsia="tr-TR"/>
        </w:rPr>
        <w:t>hibesiz</w:t>
      </w:r>
      <w:proofErr w:type="spellEnd"/>
      <w:proofErr w:type="gramEnd"/>
      <w:r w:rsidRPr="000746CD">
        <w:rPr>
          <w:rFonts w:ascii="Times New Roman" w:eastAsia="Times New Roman" w:hAnsi="Times New Roman" w:cs="Times New Roman"/>
          <w:color w:val="000000"/>
          <w:sz w:val="24"/>
          <w:szCs w:val="24"/>
          <w:lang w:eastAsia="tr-TR"/>
        </w:rPr>
        <w:t xml:space="preserve"> yararlanmış öğrenciler için daha  </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nce</w:t>
      </w:r>
      <w:proofErr w:type="spellEnd"/>
      <w:r w:rsidRPr="000746CD">
        <w:rPr>
          <w:rFonts w:ascii="Times New Roman" w:eastAsia="Times New Roman" w:hAnsi="Times New Roman" w:cs="Times New Roman"/>
          <w:color w:val="000000"/>
          <w:sz w:val="24"/>
          <w:szCs w:val="24"/>
          <w:lang w:eastAsia="tr-TR"/>
        </w:rPr>
        <w:t>  yararlanılan  her  bir  faaliyet  için</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Yükseköğretim kurumu tarafından uygun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rülen</w:t>
      </w:r>
      <w:proofErr w:type="spellEnd"/>
      <w:r w:rsidRPr="000746CD">
        <w:rPr>
          <w:rFonts w:ascii="Times New Roman" w:eastAsia="Times New Roman" w:hAnsi="Times New Roman" w:cs="Times New Roman"/>
          <w:color w:val="000000"/>
          <w:sz w:val="24"/>
          <w:szCs w:val="24"/>
          <w:lang w:eastAsia="tr-TR"/>
        </w:rPr>
        <w:t xml:space="preserve"> miktarda puan azaltma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7.  Vatandaşı olunan ülkede hareketliliğe katılma durumunda yükseköğretim kurumu</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Tarafından uygun görülen miktarda puan azaltma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8.  Seçildiği halde, süresinde feragat bildiriminde bulunmaksızın hareketliliğe katılmama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durumunda</w:t>
      </w:r>
      <w:proofErr w:type="gramEnd"/>
      <w:r w:rsidRPr="000746CD">
        <w:rPr>
          <w:rFonts w:ascii="Times New Roman" w:eastAsia="Times New Roman" w:hAnsi="Times New Roman" w:cs="Times New Roman"/>
          <w:color w:val="000000"/>
          <w:sz w:val="24"/>
          <w:szCs w:val="24"/>
          <w:lang w:eastAsia="tr-TR"/>
        </w:rPr>
        <w:t>, yükseköğretim kurumu tarafından uygun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rülen</w:t>
      </w:r>
      <w:proofErr w:type="spellEnd"/>
      <w:r w:rsidRPr="000746CD">
        <w:rPr>
          <w:rFonts w:ascii="Times New Roman" w:eastAsia="Times New Roman" w:hAnsi="Times New Roman" w:cs="Times New Roman"/>
          <w:color w:val="000000"/>
          <w:sz w:val="24"/>
          <w:szCs w:val="24"/>
          <w:lang w:eastAsia="tr-TR"/>
        </w:rPr>
        <w:t xml:space="preserve"> miktarda puan azaltma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9.  Birden fazla hareketlilik türüne aynı anda başvurma halinde, öğrencinin tercih edeceği</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hareketlilik</w:t>
      </w:r>
      <w:proofErr w:type="gramEnd"/>
      <w:r w:rsidRPr="000746CD">
        <w:rPr>
          <w:rFonts w:ascii="Times New Roman" w:eastAsia="Times New Roman" w:hAnsi="Times New Roman" w:cs="Times New Roman"/>
          <w:color w:val="000000"/>
          <w:sz w:val="24"/>
          <w:szCs w:val="24"/>
          <w:lang w:eastAsia="tr-TR"/>
        </w:rPr>
        <w:t xml:space="preserve"> için yükseköğretim kurumu tarafından uygun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rülen</w:t>
      </w:r>
      <w:proofErr w:type="spellEnd"/>
      <w:r w:rsidRPr="000746CD">
        <w:rPr>
          <w:rFonts w:ascii="Times New Roman" w:eastAsia="Times New Roman" w:hAnsi="Times New Roman" w:cs="Times New Roman"/>
          <w:color w:val="000000"/>
          <w:sz w:val="24"/>
          <w:szCs w:val="24"/>
          <w:lang w:eastAsia="tr-TR"/>
        </w:rPr>
        <w:t xml:space="preserve"> miktarda puan azaltma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10. Hareketliliğe seçilen öğrenciler iç</w:t>
      </w:r>
      <w:r w:rsidRPr="000746CD">
        <w:rPr>
          <w:rFonts w:ascii="Times New Roman" w:eastAsia="Times New Roman" w:hAnsi="Times New Roman" w:cs="Times New Roman"/>
          <w:color w:val="000000"/>
          <w:sz w:val="24"/>
          <w:szCs w:val="24"/>
          <w:lang w:val="de-DE" w:eastAsia="tr-TR"/>
        </w:rPr>
        <w:t>in,</w:t>
      </w:r>
      <w:r w:rsidRPr="000746CD">
        <w:rPr>
          <w:rFonts w:ascii="Times New Roman" w:eastAsia="Times New Roman" w:hAnsi="Times New Roman" w:cs="Times New Roman"/>
          <w:color w:val="000000"/>
          <w:sz w:val="24"/>
          <w:szCs w:val="24"/>
          <w:lang w:eastAsia="tr-TR"/>
        </w:rPr>
        <w:t> yükseköğretim kurumu tarafından hareketlilikle</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ilgili</w:t>
      </w:r>
      <w:proofErr w:type="gramEnd"/>
      <w:r w:rsidRPr="000746CD">
        <w:rPr>
          <w:rFonts w:ascii="Times New Roman" w:eastAsia="Times New Roman" w:hAnsi="Times New Roman" w:cs="Times New Roman"/>
          <w:color w:val="000000"/>
          <w:sz w:val="24"/>
          <w:szCs w:val="24"/>
          <w:lang w:eastAsia="tr-TR"/>
        </w:rPr>
        <w:t xml:space="preserve"> olarak düzenlenen toplantılara/eğitimlere mazeretsiz katılmama durumunda,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öğrencinin</w:t>
      </w:r>
      <w:proofErr w:type="gramEnd"/>
      <w:r w:rsidRPr="000746CD">
        <w:rPr>
          <w:rFonts w:ascii="Times New Roman" w:eastAsia="Times New Roman" w:hAnsi="Times New Roman" w:cs="Times New Roman"/>
          <w:color w:val="000000"/>
          <w:sz w:val="24"/>
          <w:szCs w:val="24"/>
          <w:lang w:eastAsia="tr-TR"/>
        </w:rPr>
        <w:t xml:space="preserve"> yapacağı sonraki başvurularda yükseköğretim kurumu tarafından uygun görülen miktarda puan azaltma.</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val="it-IT" w:eastAsia="tr-TR"/>
        </w:rPr>
        <w:t>11. Dil s</w:t>
      </w:r>
      <w:proofErr w:type="spellStart"/>
      <w:r w:rsidRPr="000746CD">
        <w:rPr>
          <w:rFonts w:ascii="Times New Roman" w:eastAsia="Times New Roman" w:hAnsi="Times New Roman" w:cs="Times New Roman"/>
          <w:color w:val="000000"/>
          <w:sz w:val="24"/>
          <w:szCs w:val="24"/>
          <w:lang w:eastAsia="tr-TR"/>
        </w:rPr>
        <w:t>ınavına</w:t>
      </w:r>
      <w:proofErr w:type="spellEnd"/>
      <w:r w:rsidRPr="000746CD">
        <w:rPr>
          <w:rFonts w:ascii="Times New Roman" w:eastAsia="Times New Roman" w:hAnsi="Times New Roman" w:cs="Times New Roman"/>
          <w:color w:val="000000"/>
          <w:sz w:val="24"/>
          <w:szCs w:val="24"/>
          <w:lang w:eastAsia="tr-TR"/>
        </w:rPr>
        <w:t xml:space="preserve"> gireceğini beyan edip, mazeretsiz girmeme durumunda, öğrencinin yapacağı</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sonraki</w:t>
      </w:r>
      <w:proofErr w:type="gramEnd"/>
      <w:r w:rsidRPr="000746CD">
        <w:rPr>
          <w:rFonts w:ascii="Times New Roman" w:eastAsia="Times New Roman" w:hAnsi="Times New Roman" w:cs="Times New Roman"/>
          <w:color w:val="000000"/>
          <w:sz w:val="24"/>
          <w:szCs w:val="24"/>
          <w:lang w:eastAsia="tr-TR"/>
        </w:rPr>
        <w:t xml:space="preserve"> başvurularda, yükseköğretim kurumu tarafından uygun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rülen</w:t>
      </w:r>
      <w:proofErr w:type="spellEnd"/>
      <w:r w:rsidRPr="000746CD">
        <w:rPr>
          <w:rFonts w:ascii="Times New Roman" w:eastAsia="Times New Roman" w:hAnsi="Times New Roman" w:cs="Times New Roman"/>
          <w:color w:val="000000"/>
          <w:sz w:val="24"/>
          <w:szCs w:val="24"/>
          <w:lang w:eastAsia="tr-TR"/>
        </w:rPr>
        <w:t xml:space="preserve"> miktarda puan</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proofErr w:type="gramStart"/>
      <w:r w:rsidRPr="000746CD">
        <w:rPr>
          <w:rFonts w:ascii="Times New Roman" w:eastAsia="Times New Roman" w:hAnsi="Times New Roman" w:cs="Times New Roman"/>
          <w:color w:val="000000"/>
          <w:sz w:val="24"/>
          <w:szCs w:val="24"/>
          <w:lang w:eastAsia="tr-TR"/>
        </w:rPr>
        <w:t>azaltma</w:t>
      </w:r>
      <w:proofErr w:type="gramEnd"/>
      <w:r w:rsidRPr="000746CD">
        <w:rPr>
          <w:rFonts w:ascii="Times New Roman" w:eastAsia="Times New Roman" w:hAnsi="Times New Roman" w:cs="Times New Roman"/>
          <w:b/>
          <w:bCs/>
          <w:color w:val="000000"/>
          <w:sz w:val="24"/>
          <w:szCs w:val="24"/>
          <w:lang w:eastAsia="tr-TR"/>
        </w:rPr>
        <w:t>.</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b/>
          <w:bCs/>
          <w:color w:val="000000"/>
          <w:sz w:val="24"/>
          <w:szCs w:val="24"/>
          <w:lang w:eastAsia="tr-TR"/>
        </w:rPr>
        <w:t>Hİ</w:t>
      </w:r>
      <w:r w:rsidRPr="000746CD">
        <w:rPr>
          <w:rFonts w:ascii="Times New Roman" w:eastAsia="Times New Roman" w:hAnsi="Times New Roman" w:cs="Times New Roman"/>
          <w:b/>
          <w:bCs/>
          <w:color w:val="000000"/>
          <w:sz w:val="24"/>
          <w:szCs w:val="24"/>
          <w:lang w:val="de-DE" w:eastAsia="tr-TR"/>
        </w:rPr>
        <w:t>BELEND</w:t>
      </w:r>
      <w:r w:rsidRPr="000746CD">
        <w:rPr>
          <w:rFonts w:ascii="Times New Roman" w:eastAsia="Times New Roman" w:hAnsi="Times New Roman" w:cs="Times New Roman"/>
          <w:b/>
          <w:bCs/>
          <w:color w:val="000000"/>
          <w:sz w:val="24"/>
          <w:szCs w:val="24"/>
          <w:lang w:eastAsia="tr-TR"/>
        </w:rPr>
        <w:t>İ</w:t>
      </w:r>
      <w:r w:rsidRPr="000746CD">
        <w:rPr>
          <w:rFonts w:ascii="Times New Roman" w:eastAsia="Times New Roman" w:hAnsi="Times New Roman" w:cs="Times New Roman"/>
          <w:b/>
          <w:bCs/>
          <w:color w:val="000000"/>
          <w:sz w:val="24"/>
          <w:szCs w:val="24"/>
          <w:lang w:val="de-DE" w:eastAsia="tr-TR"/>
        </w:rPr>
        <w:t>RME</w:t>
      </w:r>
    </w:p>
    <w:p w:rsidR="000746CD" w:rsidRPr="00BB27E3" w:rsidRDefault="000746CD" w:rsidP="0065691B">
      <w:pPr>
        <w:shd w:val="clear" w:color="auto" w:fill="FFFFFF"/>
        <w:spacing w:line="240" w:lineRule="auto"/>
        <w:jc w:val="both"/>
        <w:rPr>
          <w:rFonts w:ascii="Times New Roman" w:eastAsia="Times New Roman" w:hAnsi="Times New Roman" w:cs="Times New Roman"/>
          <w:color w:val="000000"/>
          <w:sz w:val="24"/>
          <w:szCs w:val="24"/>
          <w:lang w:eastAsia="tr-TR"/>
        </w:rPr>
      </w:pPr>
      <w:r w:rsidRPr="000746CD">
        <w:rPr>
          <w:rFonts w:ascii="Times New Roman" w:eastAsia="Times New Roman" w:hAnsi="Times New Roman" w:cs="Times New Roman"/>
          <w:color w:val="000000"/>
          <w:sz w:val="24"/>
          <w:szCs w:val="24"/>
          <w:lang w:eastAsia="tr-TR"/>
        </w:rPr>
        <w:t xml:space="preserve">Yararlanıcılara faaliyetleri süresi boyunca 700 Avro aylık hibe verilecektir. </w:t>
      </w:r>
    </w:p>
    <w:p w:rsidR="002121D2" w:rsidRPr="00BB27E3" w:rsidRDefault="002121D2" w:rsidP="0065691B">
      <w:pPr>
        <w:spacing w:after="160"/>
        <w:jc w:val="both"/>
        <w:rPr>
          <w:rFonts w:ascii="Times New Roman" w:eastAsia="Calibri" w:hAnsi="Times New Roman" w:cs="Times New Roman"/>
          <w:sz w:val="24"/>
          <w:szCs w:val="24"/>
        </w:rPr>
      </w:pPr>
      <w:proofErr w:type="spellStart"/>
      <w:r w:rsidRPr="002121D2">
        <w:rPr>
          <w:rFonts w:ascii="Times New Roman" w:eastAsia="Calibri" w:hAnsi="Times New Roman" w:cs="Times New Roman"/>
          <w:sz w:val="24"/>
          <w:szCs w:val="24"/>
        </w:rPr>
        <w:t>Erasmus</w:t>
      </w:r>
      <w:proofErr w:type="spellEnd"/>
      <w:r w:rsidRPr="002121D2">
        <w:rPr>
          <w:rFonts w:ascii="Times New Roman" w:eastAsia="Calibri" w:hAnsi="Times New Roman" w:cs="Times New Roman"/>
          <w:sz w:val="24"/>
          <w:szCs w:val="24"/>
        </w:rPr>
        <w:t xml:space="preserve">+ KA171 hareketliliğinden faydalanacak öğrencilere yurt dışında geçirdikleri faaliyet süreleri boyunca yurt dışında olmalarından kaynaklanan ilave masraflarına yardımcı olmak üzere hibe verilmektedir. Hibeler, öğrencilerin faaliyetle ilgili masraflarının tamamını karşılamaya yönelik değil, yalnızca katkı niteliğindedir. Verilecek olan hibe miktarları, gitmeden önce onaylanmış öğretim/eğitim programda belirtilen tarihler kapsamında gidilecek ülke için Avrupa Birliği Komisyonu tarafından belirlenir. Faaliyetten faydalanacak öğrencilere verilecek </w:t>
      </w:r>
      <w:r w:rsidRPr="002121D2">
        <w:rPr>
          <w:rFonts w:ascii="Times New Roman" w:eastAsia="Calibri" w:hAnsi="Times New Roman" w:cs="Times New Roman"/>
          <w:b/>
          <w:sz w:val="24"/>
          <w:szCs w:val="24"/>
        </w:rPr>
        <w:t>aylık hibe miktarı 700€</w:t>
      </w:r>
      <w:r w:rsidRPr="002121D2">
        <w:rPr>
          <w:rFonts w:ascii="Times New Roman" w:eastAsia="Calibri" w:hAnsi="Times New Roman" w:cs="Times New Roman"/>
          <w:sz w:val="24"/>
          <w:szCs w:val="24"/>
        </w:rPr>
        <w:t>’dur.</w:t>
      </w:r>
    </w:p>
    <w:p w:rsidR="000C089B" w:rsidRPr="00BB27E3" w:rsidRDefault="00F638B2" w:rsidP="0065691B">
      <w:pPr>
        <w:spacing w:after="160"/>
        <w:jc w:val="both"/>
        <w:rPr>
          <w:rFonts w:ascii="Times New Roman" w:eastAsia="Calibri" w:hAnsi="Times New Roman" w:cs="Times New Roman"/>
          <w:sz w:val="24"/>
          <w:szCs w:val="24"/>
        </w:rPr>
      </w:pPr>
      <w:r w:rsidRPr="00BB27E3">
        <w:rPr>
          <w:rFonts w:ascii="Times New Roman" w:eastAsia="Calibri" w:hAnsi="Times New Roman" w:cs="Times New Roman"/>
          <w:sz w:val="24"/>
          <w:szCs w:val="24"/>
        </w:rPr>
        <w:t>Kısa süreli olarak fiziksel hareketlilikten (kısa süreli doktora hareketliliği, karma hareketlilik gibi) faydalanacak öğrenciler için kullanılacak bireysel destek hibe miktarlarını gösteren tablo aşağıda yer almaktadır:</w:t>
      </w:r>
    </w:p>
    <w:p w:rsidR="00F638B2" w:rsidRPr="00BB27E3" w:rsidRDefault="00F638B2" w:rsidP="0065691B">
      <w:pPr>
        <w:spacing w:after="160"/>
        <w:jc w:val="both"/>
        <w:rPr>
          <w:rFonts w:ascii="Times New Roman" w:eastAsia="Calibri" w:hAnsi="Times New Roman" w:cs="Times New Roman"/>
          <w:sz w:val="24"/>
          <w:szCs w:val="24"/>
        </w:rPr>
      </w:pPr>
      <w:r w:rsidRPr="00BB27E3">
        <w:rPr>
          <w:rFonts w:ascii="Times New Roman" w:eastAsia="Calibri" w:hAnsi="Times New Roman" w:cs="Times New Roman"/>
          <w:noProof/>
          <w:sz w:val="24"/>
          <w:szCs w:val="24"/>
          <w:lang w:eastAsia="tr-TR"/>
        </w:rPr>
        <w:lastRenderedPageBreak/>
        <w:drawing>
          <wp:inline distT="0" distB="0" distL="0" distR="0" wp14:anchorId="7BCA1F3B" wp14:editId="141D1398">
            <wp:extent cx="3738067" cy="724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7762" cy="724001"/>
                    </a:xfrm>
                    <a:prstGeom prst="rect">
                      <a:avLst/>
                    </a:prstGeom>
                  </pic:spPr>
                </pic:pic>
              </a:graphicData>
            </a:graphic>
          </wp:inline>
        </w:drawing>
      </w:r>
    </w:p>
    <w:p w:rsidR="00F638B2" w:rsidRPr="002121D2" w:rsidRDefault="00F638B2" w:rsidP="0065691B">
      <w:pPr>
        <w:spacing w:after="160"/>
        <w:jc w:val="both"/>
        <w:rPr>
          <w:rFonts w:ascii="Times New Roman" w:eastAsia="Calibri" w:hAnsi="Times New Roman" w:cs="Times New Roman"/>
          <w:sz w:val="24"/>
          <w:szCs w:val="24"/>
        </w:rPr>
      </w:pPr>
    </w:p>
    <w:p w:rsidR="002121D2" w:rsidRPr="002121D2" w:rsidRDefault="002121D2" w:rsidP="0065691B">
      <w:pPr>
        <w:spacing w:after="160"/>
        <w:jc w:val="both"/>
        <w:rPr>
          <w:rFonts w:ascii="Times New Roman" w:eastAsia="Calibri" w:hAnsi="Times New Roman" w:cs="Times New Roman"/>
          <w:sz w:val="24"/>
          <w:szCs w:val="24"/>
        </w:rPr>
      </w:pPr>
      <w:r w:rsidRPr="002121D2">
        <w:rPr>
          <w:rFonts w:ascii="Times New Roman" w:eastAsia="Calibri" w:hAnsi="Times New Roman" w:cs="Times New Roman"/>
          <w:sz w:val="24"/>
          <w:szCs w:val="24"/>
        </w:rPr>
        <w:t xml:space="preserve">Hibe ödemeleri </w:t>
      </w:r>
      <w:r w:rsidRPr="00133AEE">
        <w:rPr>
          <w:rFonts w:ascii="Times New Roman" w:eastAsia="Calibri" w:hAnsi="Times New Roman" w:cs="Times New Roman"/>
          <w:b/>
          <w:sz w:val="24"/>
          <w:szCs w:val="24"/>
        </w:rPr>
        <w:t>iki taksitte</w:t>
      </w:r>
      <w:r w:rsidRPr="002121D2">
        <w:rPr>
          <w:rFonts w:ascii="Times New Roman" w:eastAsia="Calibri" w:hAnsi="Times New Roman" w:cs="Times New Roman"/>
          <w:sz w:val="24"/>
          <w:szCs w:val="24"/>
        </w:rPr>
        <w:t xml:space="preserve"> yapılır. İlk ödeme, toplam hibenin (bireysel destek + seyahat hibesi) </w:t>
      </w:r>
      <w:r w:rsidRPr="00133AEE">
        <w:rPr>
          <w:rFonts w:ascii="Times New Roman" w:eastAsia="Calibri" w:hAnsi="Times New Roman" w:cs="Times New Roman"/>
          <w:b/>
          <w:sz w:val="24"/>
          <w:szCs w:val="24"/>
        </w:rPr>
        <w:t>%70’i</w:t>
      </w:r>
      <w:r w:rsidRPr="002121D2">
        <w:rPr>
          <w:rFonts w:ascii="Times New Roman" w:eastAsia="Calibri" w:hAnsi="Times New Roman" w:cs="Times New Roman"/>
          <w:sz w:val="24"/>
          <w:szCs w:val="24"/>
        </w:rPr>
        <w:t xml:space="preserve"> oranındadır. Kalan </w:t>
      </w:r>
      <w:r w:rsidRPr="00133AEE">
        <w:rPr>
          <w:rFonts w:ascii="Times New Roman" w:eastAsia="Calibri" w:hAnsi="Times New Roman" w:cs="Times New Roman"/>
          <w:b/>
          <w:sz w:val="24"/>
          <w:szCs w:val="24"/>
        </w:rPr>
        <w:t>%30</w:t>
      </w:r>
      <w:r w:rsidRPr="002121D2">
        <w:rPr>
          <w:rFonts w:ascii="Times New Roman" w:eastAsia="Calibri" w:hAnsi="Times New Roman" w:cs="Times New Roman"/>
          <w:sz w:val="24"/>
          <w:szCs w:val="24"/>
        </w:rPr>
        <w:t xml:space="preserve"> hibe ödemesi ise hareketlilik bittikten sonra, öğrencinin gerekli yükümlülükleri tamamlaması halinde yapılır.</w:t>
      </w:r>
    </w:p>
    <w:p w:rsidR="002121D2" w:rsidRDefault="002121D2" w:rsidP="0065691B">
      <w:pPr>
        <w:spacing w:after="160"/>
        <w:jc w:val="both"/>
        <w:rPr>
          <w:rFonts w:ascii="Times New Roman" w:eastAsia="Calibri" w:hAnsi="Times New Roman" w:cs="Times New Roman"/>
          <w:sz w:val="24"/>
          <w:szCs w:val="24"/>
        </w:rPr>
      </w:pPr>
      <w:r w:rsidRPr="002121D2">
        <w:rPr>
          <w:rFonts w:ascii="Times New Roman" w:eastAsia="Calibri" w:hAnsi="Times New Roman" w:cs="Times New Roman"/>
          <w:sz w:val="24"/>
          <w:szCs w:val="24"/>
        </w:rPr>
        <w:t xml:space="preserve">Öğrenciler istedikleri takdirde hibe almaksızın faaliyete katılabilirler. </w:t>
      </w:r>
      <w:proofErr w:type="spellStart"/>
      <w:r w:rsidRPr="002121D2">
        <w:rPr>
          <w:rFonts w:ascii="Times New Roman" w:eastAsia="Calibri" w:hAnsi="Times New Roman" w:cs="Times New Roman"/>
          <w:sz w:val="24"/>
          <w:szCs w:val="24"/>
        </w:rPr>
        <w:t>Hibesiz</w:t>
      </w:r>
      <w:proofErr w:type="spellEnd"/>
      <w:r w:rsidRPr="002121D2">
        <w:rPr>
          <w:rFonts w:ascii="Times New Roman" w:eastAsia="Calibri" w:hAnsi="Times New Roman" w:cs="Times New Roman"/>
          <w:sz w:val="24"/>
          <w:szCs w:val="24"/>
        </w:rPr>
        <w:t xml:space="preserve"> öğrenciler de diğer başvuranlarla beraber genel değerlendirmeye tabii tutulur ve hibeli öğrencilerle aynı süreçten geçerler.</w:t>
      </w:r>
    </w:p>
    <w:p w:rsidR="00E02FF3" w:rsidRPr="00E02FF3" w:rsidRDefault="00E02FF3" w:rsidP="00E02FF3">
      <w:pPr>
        <w:spacing w:after="160"/>
        <w:jc w:val="both"/>
        <w:rPr>
          <w:rFonts w:ascii="Times New Roman" w:eastAsia="Calibri" w:hAnsi="Times New Roman" w:cs="Times New Roman"/>
          <w:b/>
          <w:bCs/>
          <w:sz w:val="24"/>
          <w:szCs w:val="24"/>
        </w:rPr>
      </w:pPr>
      <w:r w:rsidRPr="00E02FF3">
        <w:rPr>
          <w:rFonts w:ascii="Times New Roman" w:eastAsia="Calibri" w:hAnsi="Times New Roman" w:cs="Times New Roman"/>
          <w:b/>
          <w:bCs/>
          <w:sz w:val="24"/>
          <w:szCs w:val="24"/>
        </w:rPr>
        <w:t>İçerme Desteği</w:t>
      </w:r>
    </w:p>
    <w:p w:rsidR="00E02FF3" w:rsidRPr="00E02FF3" w:rsidRDefault="00E02FF3" w:rsidP="00E02FF3">
      <w:pPr>
        <w:spacing w:after="160"/>
        <w:jc w:val="both"/>
        <w:rPr>
          <w:rFonts w:ascii="Times New Roman" w:eastAsia="Calibri" w:hAnsi="Times New Roman" w:cs="Times New Roman"/>
          <w:bCs/>
          <w:sz w:val="24"/>
          <w:szCs w:val="24"/>
        </w:rPr>
      </w:pPr>
      <w:r w:rsidRPr="00E02FF3">
        <w:rPr>
          <w:rFonts w:ascii="Times New Roman" w:eastAsia="Calibri" w:hAnsi="Times New Roman" w:cs="Times New Roman"/>
          <w:bCs/>
          <w:sz w:val="24"/>
          <w:szCs w:val="24"/>
        </w:rPr>
        <w:t> </w:t>
      </w:r>
      <w:proofErr w:type="spellStart"/>
      <w:r w:rsidRPr="00E02FF3">
        <w:rPr>
          <w:rFonts w:ascii="Times New Roman" w:eastAsia="Calibri" w:hAnsi="Times New Roman" w:cs="Times New Roman"/>
          <w:bCs/>
          <w:sz w:val="24"/>
          <w:szCs w:val="24"/>
        </w:rPr>
        <w:t>Erasmus</w:t>
      </w:r>
      <w:proofErr w:type="spellEnd"/>
      <w:r w:rsidRPr="00E02FF3">
        <w:rPr>
          <w:rFonts w:ascii="Times New Roman" w:eastAsia="Calibri" w:hAnsi="Times New Roman" w:cs="Times New Roman"/>
          <w:bCs/>
          <w:sz w:val="24"/>
          <w:szCs w:val="24"/>
        </w:rPr>
        <w:t xml:space="preserve">+ Programı, imkânları kısıtlı katılımcıların programa katılımını teşvik etmektedir. İmkânları kısıtlı olan kişi, ek finansal destek olmadığı takdirde kişisel fiziksel durumu, zihinsel durumu veya sağlık durumu, projeye/hareketlilik faaliyetine katılmasına izin vermeyen potansiyel katılımcıdır. </w:t>
      </w:r>
    </w:p>
    <w:p w:rsidR="00E02FF3" w:rsidRPr="00E02FF3" w:rsidRDefault="00E02FF3" w:rsidP="00E02FF3">
      <w:pPr>
        <w:spacing w:after="160"/>
        <w:jc w:val="both"/>
        <w:rPr>
          <w:rFonts w:ascii="Times New Roman" w:eastAsia="Calibri" w:hAnsi="Times New Roman" w:cs="Times New Roman"/>
          <w:bCs/>
          <w:sz w:val="24"/>
          <w:szCs w:val="24"/>
        </w:rPr>
      </w:pPr>
      <w:r w:rsidRPr="00E02FF3">
        <w:rPr>
          <w:rFonts w:ascii="Times New Roman" w:eastAsia="Calibri" w:hAnsi="Times New Roman" w:cs="Times New Roman"/>
          <w:bCs/>
          <w:sz w:val="24"/>
          <w:szCs w:val="24"/>
        </w:rPr>
        <w:t xml:space="preserve">İçerme Desteği hibe başvuru formları, Merkeze ait internet sitesinde yer alan </w:t>
      </w:r>
      <w:hyperlink r:id="rId9" w:history="1">
        <w:r w:rsidRPr="00E02FF3">
          <w:rPr>
            <w:rStyle w:val="Kpr"/>
            <w:rFonts w:ascii="Times New Roman" w:eastAsia="Calibri" w:hAnsi="Times New Roman" w:cs="Times New Roman"/>
            <w:bCs/>
            <w:sz w:val="24"/>
            <w:szCs w:val="24"/>
          </w:rPr>
          <w:t>https://www.ua.gov.tr/anasayfa/icerikler/baglanti-ve-dokumanlar/2024-donemi-ka171-sozlesme-belgeleri</w:t>
        </w:r>
      </w:hyperlink>
      <w:r w:rsidRPr="00E02FF3">
        <w:rPr>
          <w:rFonts w:ascii="Times New Roman" w:eastAsia="Calibri" w:hAnsi="Times New Roman" w:cs="Times New Roman"/>
          <w:bCs/>
          <w:sz w:val="24"/>
          <w:szCs w:val="24"/>
        </w:rPr>
        <w:t xml:space="preserve"> sayfasından yayımlanmaktadır. </w:t>
      </w:r>
    </w:p>
    <w:p w:rsidR="00E02FF3" w:rsidRPr="00E02FF3" w:rsidRDefault="00E02FF3" w:rsidP="00E02FF3">
      <w:pPr>
        <w:spacing w:after="160"/>
        <w:jc w:val="both"/>
        <w:rPr>
          <w:rFonts w:ascii="Times New Roman" w:eastAsia="Calibri" w:hAnsi="Times New Roman" w:cs="Times New Roman"/>
          <w:b/>
          <w:bCs/>
          <w:sz w:val="24"/>
          <w:szCs w:val="24"/>
        </w:rPr>
      </w:pPr>
      <w:r w:rsidRPr="00E02FF3">
        <w:rPr>
          <w:rFonts w:ascii="Times New Roman" w:eastAsia="Calibri" w:hAnsi="Times New Roman" w:cs="Times New Roman"/>
          <w:b/>
          <w:bCs/>
          <w:sz w:val="24"/>
          <w:szCs w:val="24"/>
        </w:rPr>
        <w:t>İlave hibe ve içerme desteği başvuru sırasında talep edilmeli ve ilgili kutucuklar işaretlenmelidir. Başvuru sırasında içerme desteği talep edilmemiş ve ilgili belgeler yüklenmemişse daha sonra bu desteklere talep başvurusu yapılamaz, yapılsa dahi kabul edilemez.</w:t>
      </w:r>
    </w:p>
    <w:p w:rsidR="00E02FF3" w:rsidRPr="004060A9" w:rsidRDefault="004060A9" w:rsidP="0065691B">
      <w:pPr>
        <w:spacing w:after="160"/>
        <w:jc w:val="both"/>
        <w:rPr>
          <w:rFonts w:ascii="Times New Roman" w:eastAsia="Calibri" w:hAnsi="Times New Roman" w:cs="Times New Roman"/>
          <w:b/>
          <w:sz w:val="24"/>
          <w:szCs w:val="24"/>
        </w:rPr>
      </w:pPr>
      <w:r w:rsidRPr="004060A9">
        <w:rPr>
          <w:rFonts w:ascii="Times New Roman" w:eastAsia="Calibri" w:hAnsi="Times New Roman" w:cs="Times New Roman"/>
          <w:b/>
          <w:sz w:val="24"/>
          <w:szCs w:val="24"/>
        </w:rPr>
        <w:t>Seyahat Desteği</w:t>
      </w:r>
    </w:p>
    <w:p w:rsidR="000012CD" w:rsidRDefault="002121D2" w:rsidP="0065691B">
      <w:pPr>
        <w:spacing w:after="160"/>
        <w:jc w:val="both"/>
        <w:rPr>
          <w:rFonts w:ascii="Times New Roman" w:eastAsia="Calibri" w:hAnsi="Times New Roman" w:cs="Times New Roman"/>
          <w:sz w:val="24"/>
          <w:szCs w:val="24"/>
        </w:rPr>
      </w:pPr>
      <w:proofErr w:type="spellStart"/>
      <w:r w:rsidRPr="002121D2">
        <w:rPr>
          <w:rFonts w:ascii="Times New Roman" w:eastAsia="Calibri" w:hAnsi="Times New Roman" w:cs="Times New Roman"/>
          <w:sz w:val="24"/>
          <w:szCs w:val="24"/>
        </w:rPr>
        <w:t>Erasmus</w:t>
      </w:r>
      <w:proofErr w:type="spellEnd"/>
      <w:r w:rsidRPr="002121D2">
        <w:rPr>
          <w:rFonts w:ascii="Times New Roman" w:eastAsia="Calibri" w:hAnsi="Times New Roman" w:cs="Times New Roman"/>
          <w:sz w:val="24"/>
          <w:szCs w:val="24"/>
        </w:rPr>
        <w:t>+ Ortak Ülkelerle Hareketlilik kapsamında eğitim alacak öğrenciler aylık hibe miktarına ek olarak seyahat maliyetlerini karşılamak için seyahat mesafelerine karşı gelen tutarı alacaktır.</w:t>
      </w:r>
      <w:r w:rsidRPr="00BB27E3">
        <w:rPr>
          <w:rFonts w:ascii="Times New Roman" w:eastAsia="Calibri" w:hAnsi="Times New Roman" w:cs="Times New Roman"/>
          <w:sz w:val="24"/>
          <w:szCs w:val="24"/>
        </w:rPr>
        <w:t xml:space="preserve"> Seyahat miktarı “Mesafe Hesap</w:t>
      </w:r>
      <w:r w:rsidR="00E02FF3">
        <w:rPr>
          <w:rFonts w:ascii="Times New Roman" w:eastAsia="Calibri" w:hAnsi="Times New Roman" w:cs="Times New Roman"/>
          <w:sz w:val="24"/>
          <w:szCs w:val="24"/>
        </w:rPr>
        <w:t>layıcı” kullanılarak hesaplanır.</w:t>
      </w:r>
    </w:p>
    <w:p w:rsidR="002121D2" w:rsidRDefault="002121D2" w:rsidP="0065691B">
      <w:pPr>
        <w:spacing w:after="160"/>
        <w:jc w:val="both"/>
        <w:rPr>
          <w:rFonts w:ascii="Times New Roman" w:eastAsia="Calibri" w:hAnsi="Times New Roman" w:cs="Times New Roman"/>
          <w:sz w:val="24"/>
          <w:szCs w:val="24"/>
        </w:rPr>
      </w:pPr>
      <w:r w:rsidRPr="00BB27E3">
        <w:rPr>
          <w:rFonts w:ascii="Times New Roman" w:eastAsia="Calibri" w:hAnsi="Times New Roman" w:cs="Times New Roman"/>
          <w:sz w:val="24"/>
          <w:szCs w:val="24"/>
        </w:rPr>
        <w:t>(</w:t>
      </w:r>
      <w:hyperlink r:id="rId10" w:history="1">
        <w:r w:rsidRPr="00BB27E3">
          <w:rPr>
            <w:rStyle w:val="Kpr"/>
            <w:rFonts w:ascii="Times New Roman" w:eastAsia="Calibri" w:hAnsi="Times New Roman" w:cs="Times New Roman"/>
            <w:sz w:val="24"/>
            <w:szCs w:val="24"/>
          </w:rPr>
          <w:t>https://ec.europa.eu/programmes/erasmus-plus/resources/distance-calculator_en</w:t>
        </w:r>
      </w:hyperlink>
      <w:r w:rsidRPr="00BB27E3">
        <w:rPr>
          <w:rFonts w:ascii="Times New Roman" w:eastAsia="Calibri" w:hAnsi="Times New Roman" w:cs="Times New Roman"/>
          <w:sz w:val="24"/>
          <w:szCs w:val="24"/>
        </w:rPr>
        <w:t xml:space="preserve">) </w:t>
      </w:r>
      <w:r w:rsidR="000D5DFA">
        <w:rPr>
          <w:rFonts w:ascii="Times New Roman" w:eastAsia="Calibri" w:hAnsi="Times New Roman" w:cs="Times New Roman"/>
          <w:sz w:val="24"/>
          <w:szCs w:val="24"/>
        </w:rPr>
        <w:t xml:space="preserve"> </w:t>
      </w:r>
    </w:p>
    <w:p w:rsidR="00F302FD" w:rsidRDefault="00F302FD" w:rsidP="0065691B">
      <w:pPr>
        <w:spacing w:after="160"/>
        <w:jc w:val="both"/>
        <w:rPr>
          <w:rFonts w:ascii="Times New Roman" w:eastAsia="Calibri" w:hAnsi="Times New Roman" w:cs="Times New Roman"/>
          <w:sz w:val="24"/>
          <w:szCs w:val="24"/>
        </w:rPr>
      </w:pPr>
      <w:r>
        <w:rPr>
          <w:noProof/>
          <w:lang w:eastAsia="tr-TR"/>
        </w:rPr>
        <w:drawing>
          <wp:inline distT="0" distB="0" distL="0" distR="0" wp14:anchorId="1D7CEE10" wp14:editId="5CC58CBD">
            <wp:extent cx="5657850" cy="9334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57850" cy="933450"/>
                    </a:xfrm>
                    <a:prstGeom prst="rect">
                      <a:avLst/>
                    </a:prstGeom>
                  </pic:spPr>
                </pic:pic>
              </a:graphicData>
            </a:graphic>
          </wp:inline>
        </w:drawing>
      </w:r>
    </w:p>
    <w:p w:rsidR="00F302FD" w:rsidRDefault="00F302FD" w:rsidP="0065691B">
      <w:pPr>
        <w:spacing w:after="160"/>
        <w:jc w:val="both"/>
        <w:rPr>
          <w:rFonts w:ascii="Times New Roman" w:eastAsia="Calibri" w:hAnsi="Times New Roman" w:cs="Times New Roman"/>
          <w:sz w:val="24"/>
          <w:szCs w:val="24"/>
        </w:rPr>
      </w:pPr>
      <w:r>
        <w:rPr>
          <w:noProof/>
          <w:lang w:eastAsia="tr-TR"/>
        </w:rPr>
        <w:lastRenderedPageBreak/>
        <w:drawing>
          <wp:inline distT="0" distB="0" distL="0" distR="0" wp14:anchorId="76AAC68B" wp14:editId="7289C8AC">
            <wp:extent cx="5629275" cy="12668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29275" cy="1266825"/>
                    </a:xfrm>
                    <a:prstGeom prst="rect">
                      <a:avLst/>
                    </a:prstGeom>
                  </pic:spPr>
                </pic:pic>
              </a:graphicData>
            </a:graphic>
          </wp:inline>
        </w:drawing>
      </w:r>
    </w:p>
    <w:p w:rsidR="00C81FCF" w:rsidRPr="002121D2" w:rsidRDefault="00C81FCF" w:rsidP="0065691B">
      <w:pPr>
        <w:spacing w:after="160"/>
        <w:jc w:val="both"/>
        <w:rPr>
          <w:rFonts w:ascii="Times New Roman" w:eastAsia="Calibri" w:hAnsi="Times New Roman" w:cs="Times New Roman"/>
          <w:sz w:val="24"/>
          <w:szCs w:val="24"/>
        </w:rPr>
      </w:pPr>
      <w:r w:rsidRPr="00C81FCF">
        <w:rPr>
          <w:rFonts w:ascii="Times New Roman" w:eastAsia="Calibri" w:hAnsi="Times New Roman" w:cs="Times New Roman"/>
          <w:sz w:val="24"/>
          <w:szCs w:val="24"/>
        </w:rPr>
        <w:t>Yeşil seyahat, seyahatin düşük karbon salınımlı toplu ulaşım araçlarının kullanılarak gerçekleştirilmesidir. Otobüs, tren, paylaşımlı otomobil kullanımı yeşil seyahat kapsamında yer alır. Yeşil seyahat desteği alınabilmesi için gidişte ve dönüşte yeşil seyahat kullanılması ve seyahatin tamamının yarısından fazlasının yeşil araçlar kullanılarak yapılması gerekmektedir.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b/>
          <w:bCs/>
          <w:color w:val="333333"/>
          <w:sz w:val="24"/>
          <w:szCs w:val="24"/>
          <w:lang w:eastAsia="tr-TR"/>
        </w:rPr>
        <w:t>SEÇİ</w:t>
      </w:r>
      <w:r w:rsidRPr="000746CD">
        <w:rPr>
          <w:rFonts w:ascii="Times New Roman" w:eastAsia="Times New Roman" w:hAnsi="Times New Roman" w:cs="Times New Roman"/>
          <w:b/>
          <w:bCs/>
          <w:color w:val="333333"/>
          <w:sz w:val="24"/>
          <w:szCs w:val="24"/>
          <w:lang w:val="de-DE" w:eastAsia="tr-TR"/>
        </w:rPr>
        <w:t>M VE YERLE</w:t>
      </w:r>
      <w:r w:rsidRPr="000746CD">
        <w:rPr>
          <w:rFonts w:ascii="Times New Roman" w:eastAsia="Times New Roman" w:hAnsi="Times New Roman" w:cs="Times New Roman"/>
          <w:b/>
          <w:bCs/>
          <w:color w:val="333333"/>
          <w:sz w:val="24"/>
          <w:szCs w:val="24"/>
          <w:lang w:eastAsia="tr-TR"/>
        </w:rPr>
        <w:t>ŞTİ</w:t>
      </w:r>
      <w:r w:rsidRPr="000746CD">
        <w:rPr>
          <w:rFonts w:ascii="Times New Roman" w:eastAsia="Times New Roman" w:hAnsi="Times New Roman" w:cs="Times New Roman"/>
          <w:b/>
          <w:bCs/>
          <w:color w:val="333333"/>
          <w:sz w:val="24"/>
          <w:szCs w:val="24"/>
          <w:lang w:val="de-DE" w:eastAsia="tr-TR"/>
        </w:rPr>
        <w:t>RME</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 xml:space="preserve">•      Aday öğrencilerin seçimi, her </w:t>
      </w:r>
      <w:proofErr w:type="spellStart"/>
      <w:r w:rsidRPr="000746CD">
        <w:rPr>
          <w:rFonts w:ascii="Times New Roman" w:eastAsia="Times New Roman" w:hAnsi="Times New Roman" w:cs="Times New Roman"/>
          <w:color w:val="000000"/>
          <w:sz w:val="24"/>
          <w:szCs w:val="24"/>
          <w:lang w:eastAsia="tr-TR"/>
        </w:rPr>
        <w:t>fakü</w:t>
      </w:r>
      <w:r w:rsidRPr="000746CD">
        <w:rPr>
          <w:rFonts w:ascii="Times New Roman" w:eastAsia="Times New Roman" w:hAnsi="Times New Roman" w:cs="Times New Roman"/>
          <w:color w:val="000000"/>
          <w:sz w:val="24"/>
          <w:szCs w:val="24"/>
          <w:lang w:val="en-US" w:eastAsia="tr-TR"/>
        </w:rPr>
        <w:t>lte</w:t>
      </w:r>
      <w:proofErr w:type="spellEnd"/>
      <w:r w:rsidRPr="000746CD">
        <w:rPr>
          <w:rFonts w:ascii="Times New Roman" w:eastAsia="Times New Roman" w:hAnsi="Times New Roman" w:cs="Times New Roman"/>
          <w:color w:val="000000"/>
          <w:sz w:val="24"/>
          <w:szCs w:val="24"/>
          <w:lang w:val="en-US" w:eastAsia="tr-TR"/>
        </w:rPr>
        <w:t>/b</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lüm</w:t>
      </w:r>
      <w:proofErr w:type="spellEnd"/>
      <w:r w:rsidRPr="000746CD">
        <w:rPr>
          <w:rFonts w:ascii="Times New Roman" w:eastAsia="Times New Roman" w:hAnsi="Times New Roman" w:cs="Times New Roman"/>
          <w:color w:val="000000"/>
          <w:sz w:val="24"/>
          <w:szCs w:val="24"/>
          <w:lang w:eastAsia="tr-TR"/>
        </w:rPr>
        <w:t xml:space="preserve"> için kontenjan dâhilinde en yüksek puanı alan öğrencilerin sıralama sonucuna g</w:t>
      </w:r>
      <w:r w:rsidRPr="000746CD">
        <w:rPr>
          <w:rFonts w:ascii="Times New Roman" w:eastAsia="Times New Roman" w:hAnsi="Times New Roman" w:cs="Times New Roman"/>
          <w:color w:val="000000"/>
          <w:sz w:val="24"/>
          <w:szCs w:val="24"/>
          <w:lang w:val="sv-SE" w:eastAsia="tr-TR"/>
        </w:rPr>
        <w:t>ö</w:t>
      </w:r>
      <w:r w:rsidRPr="000746CD">
        <w:rPr>
          <w:rFonts w:ascii="Times New Roman" w:eastAsia="Times New Roman" w:hAnsi="Times New Roman" w:cs="Times New Roman"/>
          <w:color w:val="000000"/>
          <w:sz w:val="24"/>
          <w:szCs w:val="24"/>
          <w:lang w:eastAsia="tr-TR"/>
        </w:rPr>
        <w:t>re yapılır.</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0746CD">
        <w:rPr>
          <w:rFonts w:ascii="Times New Roman" w:eastAsia="Times New Roman" w:hAnsi="Times New Roman" w:cs="Times New Roman"/>
          <w:color w:val="000000"/>
          <w:sz w:val="24"/>
          <w:szCs w:val="24"/>
          <w:lang w:eastAsia="tr-TR"/>
        </w:rPr>
        <w:t>•     Bir s</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zleşme</w:t>
      </w:r>
      <w:proofErr w:type="spellEnd"/>
      <w:r w:rsidRPr="000746CD">
        <w:rPr>
          <w:rFonts w:ascii="Times New Roman" w:eastAsia="Times New Roman" w:hAnsi="Times New Roman" w:cs="Times New Roman"/>
          <w:color w:val="000000"/>
          <w:sz w:val="24"/>
          <w:szCs w:val="24"/>
          <w:lang w:eastAsia="tr-TR"/>
        </w:rPr>
        <w:t xml:space="preserve"> yılında seçilerek hibe tahsis edilen ancak hibe yetersizliğinden veya başka sebeplerle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nderilemeyen</w:t>
      </w:r>
      <w:proofErr w:type="spellEnd"/>
      <w:r w:rsidRPr="000746CD">
        <w:rPr>
          <w:rFonts w:ascii="Times New Roman" w:eastAsia="Times New Roman" w:hAnsi="Times New Roman" w:cs="Times New Roman"/>
          <w:color w:val="000000"/>
          <w:sz w:val="24"/>
          <w:szCs w:val="24"/>
          <w:lang w:eastAsia="tr-TR"/>
        </w:rPr>
        <w:t xml:space="preserve"> öğrenciler, bir sonraki s</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zleşme</w:t>
      </w:r>
      <w:proofErr w:type="spellEnd"/>
      <w:r w:rsidRPr="000746CD">
        <w:rPr>
          <w:rFonts w:ascii="Times New Roman" w:eastAsia="Times New Roman" w:hAnsi="Times New Roman" w:cs="Times New Roman"/>
          <w:color w:val="000000"/>
          <w:sz w:val="24"/>
          <w:szCs w:val="24"/>
          <w:lang w:eastAsia="tr-TR"/>
        </w:rPr>
        <w:t xml:space="preserve"> yılına </w:t>
      </w:r>
      <w:r w:rsidRPr="000746CD">
        <w:rPr>
          <w:rFonts w:ascii="Times New Roman" w:eastAsia="Times New Roman" w:hAnsi="Times New Roman" w:cs="Times New Roman"/>
          <w:color w:val="000000"/>
          <w:sz w:val="24"/>
          <w:szCs w:val="24"/>
          <w:rtl/>
          <w:lang w:eastAsia="tr-TR"/>
        </w:rPr>
        <w:t>“</w:t>
      </w:r>
      <w:r w:rsidRPr="000746CD">
        <w:rPr>
          <w:rFonts w:ascii="Times New Roman" w:eastAsia="Times New Roman" w:hAnsi="Times New Roman" w:cs="Times New Roman"/>
          <w:color w:val="000000"/>
          <w:sz w:val="24"/>
          <w:szCs w:val="24"/>
          <w:lang w:eastAsia="tr-TR"/>
        </w:rPr>
        <w:t>kazanılmış hak” olarak devredilmek suretiyle doğrudan g</w:t>
      </w:r>
      <w:r w:rsidRPr="000746CD">
        <w:rPr>
          <w:rFonts w:ascii="Times New Roman" w:eastAsia="Times New Roman" w:hAnsi="Times New Roman" w:cs="Times New Roman"/>
          <w:color w:val="000000"/>
          <w:sz w:val="24"/>
          <w:szCs w:val="24"/>
          <w:lang w:val="sv-SE" w:eastAsia="tr-TR"/>
        </w:rPr>
        <w:t>ö</w:t>
      </w:r>
      <w:proofErr w:type="spellStart"/>
      <w:r w:rsidRPr="000746CD">
        <w:rPr>
          <w:rFonts w:ascii="Times New Roman" w:eastAsia="Times New Roman" w:hAnsi="Times New Roman" w:cs="Times New Roman"/>
          <w:color w:val="000000"/>
          <w:sz w:val="24"/>
          <w:szCs w:val="24"/>
          <w:lang w:eastAsia="tr-TR"/>
        </w:rPr>
        <w:t>nderilemezler</w:t>
      </w:r>
      <w:proofErr w:type="spellEnd"/>
      <w:r w:rsidRPr="000746CD">
        <w:rPr>
          <w:rFonts w:ascii="Times New Roman" w:eastAsia="Times New Roman" w:hAnsi="Times New Roman" w:cs="Times New Roman"/>
          <w:color w:val="000000"/>
          <w:sz w:val="24"/>
          <w:szCs w:val="24"/>
          <w:lang w:eastAsia="tr-TR"/>
        </w:rPr>
        <w:t>.</w:t>
      </w:r>
    </w:p>
    <w:p w:rsidR="000746CD" w:rsidRPr="00133AEE"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133AEE">
        <w:rPr>
          <w:rFonts w:ascii="Times New Roman" w:eastAsia="Times New Roman" w:hAnsi="Times New Roman" w:cs="Times New Roman"/>
          <w:b/>
          <w:bCs/>
          <w:color w:val="000000"/>
          <w:sz w:val="24"/>
          <w:szCs w:val="24"/>
          <w:lang w:eastAsia="tr-TR"/>
        </w:rPr>
        <w:t>ERASMUS YABANCI Dİ</w:t>
      </w:r>
      <w:r w:rsidRPr="00133AEE">
        <w:rPr>
          <w:rFonts w:ascii="Times New Roman" w:eastAsia="Times New Roman" w:hAnsi="Times New Roman" w:cs="Times New Roman"/>
          <w:b/>
          <w:bCs/>
          <w:color w:val="000000"/>
          <w:sz w:val="24"/>
          <w:szCs w:val="24"/>
          <w:lang w:val="nl-NL" w:eastAsia="tr-TR"/>
        </w:rPr>
        <w:t>L SINAVI</w:t>
      </w:r>
    </w:p>
    <w:p w:rsidR="00BC4174" w:rsidRDefault="00BC4174" w:rsidP="0065691B">
      <w:pPr>
        <w:shd w:val="clear" w:color="auto" w:fill="FFFFFF"/>
        <w:spacing w:line="240" w:lineRule="auto"/>
        <w:jc w:val="both"/>
        <w:rPr>
          <w:rFonts w:ascii="Times New Roman" w:eastAsia="Times New Roman" w:hAnsi="Times New Roman" w:cs="Times New Roman"/>
          <w:color w:val="000000"/>
          <w:sz w:val="24"/>
          <w:szCs w:val="24"/>
          <w:lang w:eastAsia="tr-TR"/>
        </w:rPr>
      </w:pPr>
      <w:r w:rsidRPr="00BC4174">
        <w:rPr>
          <w:rFonts w:ascii="Times New Roman" w:eastAsia="Times New Roman" w:hAnsi="Times New Roman" w:cs="Times New Roman"/>
          <w:color w:val="000000"/>
          <w:sz w:val="24"/>
          <w:szCs w:val="24"/>
          <w:lang w:eastAsia="tr-TR"/>
        </w:rPr>
        <w:t>Yabancı Dil Sınavı İngilizce dilinde yazılı ve sözlü olmak üzere 2 oturum şeklinde </w:t>
      </w:r>
      <w:r>
        <w:rPr>
          <w:rFonts w:ascii="Times New Roman" w:eastAsia="Times New Roman" w:hAnsi="Times New Roman" w:cs="Times New Roman"/>
          <w:color w:val="000000"/>
          <w:sz w:val="24"/>
          <w:szCs w:val="24"/>
          <w:lang w:eastAsia="tr-TR"/>
        </w:rPr>
        <w:t xml:space="preserve">gerçekleştirilecektir. </w:t>
      </w:r>
    </w:p>
    <w:p w:rsidR="0065691B" w:rsidRDefault="0065691B" w:rsidP="0065691B">
      <w:pPr>
        <w:shd w:val="clear" w:color="auto" w:fill="FFFFFF"/>
        <w:spacing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w:t>
      </w:r>
      <w:r w:rsidRPr="0065691B">
        <w:rPr>
          <w:rFonts w:ascii="Times New Roman" w:eastAsia="Times New Roman" w:hAnsi="Times New Roman" w:cs="Times New Roman"/>
          <w:color w:val="000000"/>
          <w:sz w:val="24"/>
          <w:szCs w:val="24"/>
          <w:lang w:eastAsia="tr-TR"/>
        </w:rPr>
        <w:t>azılı sınav 100 pu</w:t>
      </w:r>
      <w:r>
        <w:rPr>
          <w:rFonts w:ascii="Times New Roman" w:eastAsia="Times New Roman" w:hAnsi="Times New Roman" w:cs="Times New Roman"/>
          <w:color w:val="000000"/>
          <w:sz w:val="24"/>
          <w:szCs w:val="24"/>
          <w:lang w:eastAsia="tr-TR"/>
        </w:rPr>
        <w:t>an üzerinden değerlendirilecektir. Y</w:t>
      </w:r>
      <w:r w:rsidRPr="0065691B">
        <w:rPr>
          <w:rFonts w:ascii="Times New Roman" w:eastAsia="Times New Roman" w:hAnsi="Times New Roman" w:cs="Times New Roman"/>
          <w:color w:val="000000"/>
          <w:sz w:val="24"/>
          <w:szCs w:val="24"/>
          <w:lang w:eastAsia="tr-TR"/>
        </w:rPr>
        <w:t>azılı sınavın ağırlığı %75 sözlü sınavın ağ</w:t>
      </w:r>
      <w:r>
        <w:rPr>
          <w:rFonts w:ascii="Times New Roman" w:eastAsia="Times New Roman" w:hAnsi="Times New Roman" w:cs="Times New Roman"/>
          <w:color w:val="000000"/>
          <w:sz w:val="24"/>
          <w:szCs w:val="24"/>
          <w:lang w:eastAsia="tr-TR"/>
        </w:rPr>
        <w:t xml:space="preserve">ırlığı %25 olarak hesaplanarak </w:t>
      </w:r>
      <w:proofErr w:type="spellStart"/>
      <w:r>
        <w:rPr>
          <w:rFonts w:ascii="Times New Roman" w:eastAsia="Times New Roman" w:hAnsi="Times New Roman" w:cs="Times New Roman"/>
          <w:color w:val="000000"/>
          <w:sz w:val="24"/>
          <w:szCs w:val="24"/>
          <w:lang w:eastAsia="tr-TR"/>
        </w:rPr>
        <w:t>E</w:t>
      </w:r>
      <w:r w:rsidRPr="0065691B">
        <w:rPr>
          <w:rFonts w:ascii="Times New Roman" w:eastAsia="Times New Roman" w:hAnsi="Times New Roman" w:cs="Times New Roman"/>
          <w:color w:val="000000"/>
          <w:sz w:val="24"/>
          <w:szCs w:val="24"/>
          <w:lang w:eastAsia="tr-TR"/>
        </w:rPr>
        <w:t>rasmus</w:t>
      </w:r>
      <w:proofErr w:type="spellEnd"/>
      <w:r w:rsidRPr="0065691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başarı puanı oluşturulacaktır.</w:t>
      </w:r>
      <w:r>
        <w:rPr>
          <w:rFonts w:ascii="Times New Roman" w:eastAsia="Times New Roman" w:hAnsi="Times New Roman" w:cs="Times New Roman"/>
          <w:color w:val="000000"/>
          <w:sz w:val="24"/>
          <w:szCs w:val="24"/>
          <w:lang w:eastAsia="tr-TR"/>
        </w:rPr>
        <w:br/>
      </w:r>
      <w:proofErr w:type="spellStart"/>
      <w:r>
        <w:rPr>
          <w:rFonts w:ascii="Times New Roman" w:eastAsia="Times New Roman" w:hAnsi="Times New Roman" w:cs="Times New Roman"/>
          <w:color w:val="000000"/>
          <w:sz w:val="24"/>
          <w:szCs w:val="24"/>
          <w:lang w:eastAsia="tr-TR"/>
        </w:rPr>
        <w:t>E</w:t>
      </w:r>
      <w:r w:rsidRPr="0065691B">
        <w:rPr>
          <w:rFonts w:ascii="Times New Roman" w:eastAsia="Times New Roman" w:hAnsi="Times New Roman" w:cs="Times New Roman"/>
          <w:color w:val="000000"/>
          <w:sz w:val="24"/>
          <w:szCs w:val="24"/>
          <w:lang w:eastAsia="tr-TR"/>
        </w:rPr>
        <w:t>rasmus</w:t>
      </w:r>
      <w:proofErr w:type="spellEnd"/>
      <w:r w:rsidRPr="0065691B">
        <w:rPr>
          <w:rFonts w:ascii="Times New Roman" w:eastAsia="Times New Roman" w:hAnsi="Times New Roman" w:cs="Times New Roman"/>
          <w:color w:val="000000"/>
          <w:sz w:val="24"/>
          <w:szCs w:val="24"/>
          <w:lang w:eastAsia="tr-TR"/>
        </w:rPr>
        <w:t xml:space="preserve"> </w:t>
      </w:r>
      <w:r w:rsidR="007F04A6">
        <w:rPr>
          <w:rFonts w:ascii="Times New Roman" w:eastAsia="Times New Roman" w:hAnsi="Times New Roman" w:cs="Times New Roman"/>
          <w:color w:val="000000"/>
          <w:sz w:val="24"/>
          <w:szCs w:val="24"/>
          <w:lang w:eastAsia="tr-TR"/>
        </w:rPr>
        <w:t>başarı puanınızın %50 si ile GNO</w:t>
      </w:r>
      <w:r w:rsidRPr="0065691B">
        <w:rPr>
          <w:rFonts w:ascii="Times New Roman" w:eastAsia="Times New Roman" w:hAnsi="Times New Roman" w:cs="Times New Roman"/>
          <w:color w:val="000000"/>
          <w:sz w:val="24"/>
          <w:szCs w:val="24"/>
          <w:lang w:eastAsia="tr-TR"/>
        </w:rPr>
        <w:t xml:space="preserve"> %50 si ve eğer varsa eklenecek ya</w:t>
      </w:r>
      <w:r w:rsidR="007F04A6">
        <w:rPr>
          <w:rFonts w:ascii="Times New Roman" w:eastAsia="Times New Roman" w:hAnsi="Times New Roman" w:cs="Times New Roman"/>
          <w:color w:val="000000"/>
          <w:sz w:val="24"/>
          <w:szCs w:val="24"/>
          <w:lang w:eastAsia="tr-TR"/>
        </w:rPr>
        <w:t xml:space="preserve"> </w:t>
      </w:r>
      <w:r w:rsidRPr="0065691B">
        <w:rPr>
          <w:rFonts w:ascii="Times New Roman" w:eastAsia="Times New Roman" w:hAnsi="Times New Roman" w:cs="Times New Roman"/>
          <w:color w:val="000000"/>
          <w:sz w:val="24"/>
          <w:szCs w:val="24"/>
          <w:lang w:eastAsia="tr-TR"/>
        </w:rPr>
        <w:t xml:space="preserve">da eksiltilecek puanlarla birlikte nihai sonuç kontenjan </w:t>
      </w:r>
      <w:proofErr w:type="gramStart"/>
      <w:r w:rsidRPr="0065691B">
        <w:rPr>
          <w:rFonts w:ascii="Times New Roman" w:eastAsia="Times New Roman" w:hAnsi="Times New Roman" w:cs="Times New Roman"/>
          <w:color w:val="000000"/>
          <w:sz w:val="24"/>
          <w:szCs w:val="24"/>
          <w:lang w:eastAsia="tr-TR"/>
        </w:rPr>
        <w:t>dahilinde</w:t>
      </w:r>
      <w:proofErr w:type="gramEnd"/>
      <w:r w:rsidRPr="0065691B">
        <w:rPr>
          <w:rFonts w:ascii="Times New Roman" w:eastAsia="Times New Roman" w:hAnsi="Times New Roman" w:cs="Times New Roman"/>
          <w:color w:val="000000"/>
          <w:sz w:val="24"/>
          <w:szCs w:val="24"/>
          <w:lang w:eastAsia="tr-TR"/>
        </w:rPr>
        <w:t xml:space="preserve"> asil –yedek listesini oluşturacaktır.</w:t>
      </w:r>
    </w:p>
    <w:p w:rsidR="00BC4174" w:rsidRDefault="003A12D9" w:rsidP="0065691B">
      <w:pPr>
        <w:shd w:val="clear" w:color="auto" w:fill="FFFFFF"/>
        <w:spacing w:line="240" w:lineRule="auto"/>
        <w:jc w:val="both"/>
        <w:rPr>
          <w:rFonts w:ascii="Times New Roman" w:eastAsia="Times New Roman" w:hAnsi="Times New Roman" w:cs="Times New Roman"/>
          <w:color w:val="000000"/>
          <w:sz w:val="24"/>
          <w:szCs w:val="24"/>
          <w:lang w:eastAsia="tr-TR"/>
        </w:rPr>
      </w:pPr>
      <w:r w:rsidRPr="003A12D9">
        <w:rPr>
          <w:rFonts w:ascii="Times New Roman" w:eastAsia="Times New Roman" w:hAnsi="Times New Roman" w:cs="Times New Roman"/>
          <w:b/>
          <w:color w:val="000000"/>
          <w:sz w:val="24"/>
          <w:szCs w:val="24"/>
          <w:lang w:eastAsia="tr-TR"/>
        </w:rPr>
        <w:t>Yazılı S</w:t>
      </w:r>
      <w:r w:rsidR="00BC4174" w:rsidRPr="003A12D9">
        <w:rPr>
          <w:rFonts w:ascii="Times New Roman" w:eastAsia="Times New Roman" w:hAnsi="Times New Roman" w:cs="Times New Roman"/>
          <w:b/>
          <w:color w:val="000000"/>
          <w:sz w:val="24"/>
          <w:szCs w:val="24"/>
          <w:lang w:eastAsia="tr-TR"/>
        </w:rPr>
        <w:t>ınav</w:t>
      </w:r>
      <w:r w:rsidR="00BC4174">
        <w:rPr>
          <w:rFonts w:ascii="Times New Roman" w:eastAsia="Times New Roman" w:hAnsi="Times New Roman" w:cs="Times New Roman"/>
          <w:color w:val="000000"/>
          <w:sz w:val="24"/>
          <w:szCs w:val="24"/>
          <w:lang w:eastAsia="tr-TR"/>
        </w:rPr>
        <w:t xml:space="preserve"> </w:t>
      </w:r>
      <w:r w:rsidR="00F3774F">
        <w:rPr>
          <w:rFonts w:ascii="Times New Roman" w:eastAsia="Times New Roman" w:hAnsi="Times New Roman" w:cs="Times New Roman"/>
          <w:color w:val="000000"/>
          <w:sz w:val="24"/>
          <w:szCs w:val="24"/>
          <w:highlight w:val="yellow"/>
          <w:lang w:eastAsia="tr-TR"/>
        </w:rPr>
        <w:t>13</w:t>
      </w:r>
      <w:r w:rsidR="003100EB" w:rsidRPr="003100EB">
        <w:rPr>
          <w:rFonts w:ascii="Times New Roman" w:eastAsia="Times New Roman" w:hAnsi="Times New Roman" w:cs="Times New Roman"/>
          <w:color w:val="000000"/>
          <w:sz w:val="24"/>
          <w:szCs w:val="24"/>
          <w:highlight w:val="yellow"/>
          <w:lang w:eastAsia="tr-TR"/>
        </w:rPr>
        <w:t>.01.2025</w:t>
      </w:r>
      <w:r w:rsidR="00F3774F">
        <w:rPr>
          <w:rFonts w:ascii="Times New Roman" w:eastAsia="Times New Roman" w:hAnsi="Times New Roman" w:cs="Times New Roman"/>
          <w:color w:val="000000"/>
          <w:sz w:val="24"/>
          <w:szCs w:val="24"/>
          <w:lang w:eastAsia="tr-TR"/>
        </w:rPr>
        <w:t xml:space="preserve"> </w:t>
      </w:r>
      <w:proofErr w:type="spellStart"/>
      <w:r w:rsidR="00F3774F">
        <w:rPr>
          <w:rFonts w:ascii="Times New Roman" w:eastAsia="Times New Roman" w:hAnsi="Times New Roman" w:cs="Times New Roman"/>
          <w:color w:val="000000"/>
          <w:sz w:val="24"/>
          <w:szCs w:val="24"/>
          <w:lang w:eastAsia="tr-TR"/>
        </w:rPr>
        <w:t>Pzartesi</w:t>
      </w:r>
      <w:proofErr w:type="spellEnd"/>
      <w:r w:rsidR="000746CD" w:rsidRPr="00133AEE">
        <w:rPr>
          <w:rFonts w:ascii="Times New Roman" w:eastAsia="Times New Roman" w:hAnsi="Times New Roman" w:cs="Times New Roman"/>
          <w:color w:val="000000"/>
          <w:sz w:val="24"/>
          <w:szCs w:val="24"/>
          <w:lang w:val="it-IT" w:eastAsia="tr-TR"/>
        </w:rPr>
        <w:t xml:space="preserve"> g</w:t>
      </w:r>
      <w:r w:rsidR="00F3774F">
        <w:rPr>
          <w:rFonts w:ascii="Times New Roman" w:eastAsia="Times New Roman" w:hAnsi="Times New Roman" w:cs="Times New Roman"/>
          <w:color w:val="000000"/>
          <w:sz w:val="24"/>
          <w:szCs w:val="24"/>
          <w:lang w:eastAsia="tr-TR"/>
        </w:rPr>
        <w:t xml:space="preserve">ünü saat </w:t>
      </w:r>
      <w:proofErr w:type="gramStart"/>
      <w:r w:rsidR="00F3774F">
        <w:rPr>
          <w:rFonts w:ascii="Times New Roman" w:eastAsia="Times New Roman" w:hAnsi="Times New Roman" w:cs="Times New Roman"/>
          <w:color w:val="000000"/>
          <w:sz w:val="24"/>
          <w:szCs w:val="24"/>
          <w:lang w:eastAsia="tr-TR"/>
        </w:rPr>
        <w:t>14</w:t>
      </w:r>
      <w:r w:rsidR="00BC4174">
        <w:rPr>
          <w:rFonts w:ascii="Times New Roman" w:eastAsia="Times New Roman" w:hAnsi="Times New Roman" w:cs="Times New Roman"/>
          <w:color w:val="000000"/>
          <w:sz w:val="24"/>
          <w:szCs w:val="24"/>
          <w:lang w:eastAsia="tr-TR"/>
        </w:rPr>
        <w:t>:00’</w:t>
      </w:r>
      <w:r w:rsidR="00D12C64">
        <w:rPr>
          <w:rFonts w:ascii="Times New Roman" w:eastAsia="Times New Roman" w:hAnsi="Times New Roman" w:cs="Times New Roman"/>
          <w:color w:val="000000"/>
          <w:sz w:val="24"/>
          <w:szCs w:val="24"/>
          <w:lang w:eastAsia="tr-TR"/>
        </w:rPr>
        <w:t>da</w:t>
      </w:r>
      <w:proofErr w:type="gramEnd"/>
      <w:r w:rsidR="00D12C64">
        <w:rPr>
          <w:rFonts w:ascii="Times New Roman" w:eastAsia="Times New Roman" w:hAnsi="Times New Roman" w:cs="Times New Roman"/>
          <w:color w:val="000000"/>
          <w:sz w:val="24"/>
          <w:szCs w:val="24"/>
          <w:lang w:eastAsia="tr-TR"/>
        </w:rPr>
        <w:t xml:space="preserve">, </w:t>
      </w:r>
      <w:r w:rsidRPr="003A12D9">
        <w:rPr>
          <w:rFonts w:ascii="Times New Roman" w:eastAsia="Times New Roman" w:hAnsi="Times New Roman" w:cs="Times New Roman"/>
          <w:b/>
          <w:color w:val="000000"/>
          <w:sz w:val="24"/>
          <w:szCs w:val="24"/>
          <w:lang w:eastAsia="tr-TR"/>
        </w:rPr>
        <w:t>Sözlü S</w:t>
      </w:r>
      <w:r w:rsidR="00D12C64" w:rsidRPr="003A12D9">
        <w:rPr>
          <w:rFonts w:ascii="Times New Roman" w:eastAsia="Times New Roman" w:hAnsi="Times New Roman" w:cs="Times New Roman"/>
          <w:b/>
          <w:color w:val="000000"/>
          <w:sz w:val="24"/>
          <w:szCs w:val="24"/>
          <w:lang w:eastAsia="tr-TR"/>
        </w:rPr>
        <w:t>ınav</w:t>
      </w:r>
      <w:r w:rsidR="00C46A5B">
        <w:rPr>
          <w:rFonts w:ascii="Times New Roman" w:eastAsia="Times New Roman" w:hAnsi="Times New Roman" w:cs="Times New Roman"/>
          <w:color w:val="000000"/>
          <w:sz w:val="24"/>
          <w:szCs w:val="24"/>
          <w:lang w:eastAsia="tr-TR"/>
        </w:rPr>
        <w:t xml:space="preserve"> </w:t>
      </w:r>
      <w:r w:rsidR="00F3774F">
        <w:rPr>
          <w:rFonts w:ascii="Times New Roman" w:eastAsia="Times New Roman" w:hAnsi="Times New Roman" w:cs="Times New Roman"/>
          <w:color w:val="000000"/>
          <w:sz w:val="24"/>
          <w:szCs w:val="24"/>
          <w:highlight w:val="yellow"/>
          <w:lang w:eastAsia="tr-TR"/>
        </w:rPr>
        <w:t>15</w:t>
      </w:r>
      <w:r w:rsidR="003100EB" w:rsidRPr="003100EB">
        <w:rPr>
          <w:rFonts w:ascii="Times New Roman" w:eastAsia="Times New Roman" w:hAnsi="Times New Roman" w:cs="Times New Roman"/>
          <w:color w:val="000000"/>
          <w:sz w:val="24"/>
          <w:szCs w:val="24"/>
          <w:highlight w:val="yellow"/>
          <w:lang w:eastAsia="tr-TR"/>
        </w:rPr>
        <w:t>.01.2025</w:t>
      </w:r>
      <w:r w:rsidR="00F3774F">
        <w:rPr>
          <w:rFonts w:ascii="Times New Roman" w:eastAsia="Times New Roman" w:hAnsi="Times New Roman" w:cs="Times New Roman"/>
          <w:color w:val="000000"/>
          <w:sz w:val="24"/>
          <w:szCs w:val="24"/>
          <w:lang w:eastAsia="tr-TR"/>
        </w:rPr>
        <w:t xml:space="preserve"> Çarşamba saat 10</w:t>
      </w:r>
      <w:r w:rsidR="00D12C64" w:rsidRPr="00D12C64">
        <w:rPr>
          <w:rFonts w:ascii="Times New Roman" w:eastAsia="Times New Roman" w:hAnsi="Times New Roman" w:cs="Times New Roman"/>
          <w:color w:val="000000"/>
          <w:sz w:val="24"/>
          <w:szCs w:val="24"/>
          <w:lang w:eastAsia="tr-TR"/>
        </w:rPr>
        <w:t xml:space="preserve">:00’da </w:t>
      </w:r>
      <w:r w:rsidR="000746CD" w:rsidRPr="00133AEE">
        <w:rPr>
          <w:rFonts w:ascii="Times New Roman" w:eastAsia="Times New Roman" w:hAnsi="Times New Roman" w:cs="Times New Roman"/>
          <w:color w:val="000000"/>
          <w:sz w:val="24"/>
          <w:szCs w:val="24"/>
          <w:lang w:eastAsia="tr-TR"/>
        </w:rPr>
        <w:t xml:space="preserve">Yabancı Diller Yüksekokulunda yapılacaktır. </w:t>
      </w:r>
    </w:p>
    <w:p w:rsidR="000746CD" w:rsidRPr="000746CD" w:rsidRDefault="000746CD" w:rsidP="0065691B">
      <w:pPr>
        <w:shd w:val="clear" w:color="auto" w:fill="FFFFFF"/>
        <w:spacing w:line="240" w:lineRule="auto"/>
        <w:jc w:val="both"/>
        <w:rPr>
          <w:rFonts w:ascii="Times New Roman" w:eastAsia="Times New Roman" w:hAnsi="Times New Roman" w:cs="Times New Roman"/>
          <w:color w:val="292B2C"/>
          <w:sz w:val="24"/>
          <w:szCs w:val="24"/>
          <w:lang w:eastAsia="tr-TR"/>
        </w:rPr>
      </w:pPr>
      <w:r w:rsidRPr="00133AEE">
        <w:rPr>
          <w:rFonts w:ascii="Times New Roman" w:eastAsia="Times New Roman" w:hAnsi="Times New Roman" w:cs="Times New Roman"/>
          <w:color w:val="000000"/>
          <w:sz w:val="24"/>
          <w:szCs w:val="24"/>
          <w:lang w:eastAsia="tr-TR"/>
        </w:rPr>
        <w:t>Sınav</w:t>
      </w:r>
      <w:r w:rsidR="00D12C64">
        <w:rPr>
          <w:rFonts w:ascii="Times New Roman" w:eastAsia="Times New Roman" w:hAnsi="Times New Roman" w:cs="Times New Roman"/>
          <w:color w:val="000000"/>
          <w:sz w:val="24"/>
          <w:szCs w:val="24"/>
          <w:lang w:eastAsia="tr-TR"/>
        </w:rPr>
        <w:t>lar</w:t>
      </w:r>
      <w:r w:rsidRPr="00133AEE">
        <w:rPr>
          <w:rFonts w:ascii="Times New Roman" w:eastAsia="Times New Roman" w:hAnsi="Times New Roman" w:cs="Times New Roman"/>
          <w:color w:val="000000"/>
          <w:sz w:val="24"/>
          <w:szCs w:val="24"/>
          <w:lang w:eastAsia="tr-TR"/>
        </w:rPr>
        <w:t>ın telafisi yapılmayacaktır.</w:t>
      </w:r>
    </w:p>
    <w:p w:rsidR="0006201F" w:rsidRPr="00BB27E3" w:rsidRDefault="0006201F" w:rsidP="0065691B">
      <w:pPr>
        <w:jc w:val="both"/>
        <w:rPr>
          <w:rFonts w:ascii="Times New Roman" w:hAnsi="Times New Roman" w:cs="Times New Roman"/>
          <w:sz w:val="24"/>
          <w:szCs w:val="24"/>
        </w:rPr>
      </w:pPr>
    </w:p>
    <w:sectPr w:rsidR="0006201F" w:rsidRPr="00BB27E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A2" w:rsidRDefault="00A85CA2" w:rsidP="002C0933">
      <w:pPr>
        <w:spacing w:after="0" w:line="240" w:lineRule="auto"/>
      </w:pPr>
      <w:r>
        <w:separator/>
      </w:r>
    </w:p>
  </w:endnote>
  <w:endnote w:type="continuationSeparator" w:id="0">
    <w:p w:rsidR="00A85CA2" w:rsidRDefault="00A85CA2" w:rsidP="002C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A2" w:rsidRDefault="00A85CA2" w:rsidP="002C0933">
      <w:pPr>
        <w:spacing w:after="0" w:line="240" w:lineRule="auto"/>
      </w:pPr>
      <w:r>
        <w:separator/>
      </w:r>
    </w:p>
  </w:footnote>
  <w:footnote w:type="continuationSeparator" w:id="0">
    <w:p w:rsidR="00A85CA2" w:rsidRDefault="00A85CA2" w:rsidP="002C0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33" w:rsidRDefault="002C0933" w:rsidP="002C0933">
    <w:pPr>
      <w:pStyle w:val="NormalWeb"/>
      <w:tabs>
        <w:tab w:val="left" w:pos="7545"/>
      </w:tabs>
    </w:pPr>
    <w:r>
      <w:rPr>
        <w:noProof/>
      </w:rPr>
      <w:drawing>
        <wp:inline distT="0" distB="0" distL="0" distR="0" wp14:anchorId="328EC218" wp14:editId="29B8E5BE">
          <wp:extent cx="731520" cy="569724"/>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242" cy="569507"/>
                  </a:xfrm>
                  <a:prstGeom prst="rect">
                    <a:avLst/>
                  </a:prstGeom>
                </pic:spPr>
              </pic:pic>
            </a:graphicData>
          </a:graphic>
        </wp:inline>
      </w:drawing>
    </w:r>
    <w:r>
      <w:rPr>
        <w:noProof/>
      </w:rPr>
      <w:t xml:space="preserve">      </w:t>
    </w:r>
    <w:r>
      <w:rPr>
        <w:noProof/>
      </w:rPr>
      <w:drawing>
        <wp:inline distT="0" distB="0" distL="0" distR="0" wp14:anchorId="35526764" wp14:editId="3555381A">
          <wp:extent cx="1455725" cy="504451"/>
          <wp:effectExtent l="0" t="0" r="0" b="0"/>
          <wp:docPr id="3" name="Resim 3" descr="C:\Users\190511~1\AppData\Local\Temp\Rar$DIa5044.1685\ab_baskanligi_yazis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90511~1\AppData\Local\Temp\Rar$DIa5044.1685\ab_baskanligi_yazisi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05005"/>
                  </a:xfrm>
                  <a:prstGeom prst="rect">
                    <a:avLst/>
                  </a:prstGeom>
                  <a:noFill/>
                  <a:ln>
                    <a:noFill/>
                  </a:ln>
                </pic:spPr>
              </pic:pic>
            </a:graphicData>
          </a:graphic>
        </wp:inline>
      </w:drawing>
    </w:r>
    <w:r>
      <w:rPr>
        <w:noProof/>
      </w:rPr>
      <w:t xml:space="preserve">      </w:t>
    </w:r>
    <w:r>
      <w:rPr>
        <w:noProof/>
      </w:rPr>
      <w:drawing>
        <wp:inline distT="0" distB="0" distL="0" distR="0" wp14:anchorId="21560FF2" wp14:editId="7DAE69DD">
          <wp:extent cx="1302105" cy="489209"/>
          <wp:effectExtent l="0" t="0" r="0" b="6350"/>
          <wp:docPr id="4" name="Resim 4" descr="C:\Users\190511~1\AppData\Local\Temp\Rar$DIa904.7969\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90511~1\AppData\Local\Temp\Rar$DIa904.7969\ua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490268"/>
                  </a:xfrm>
                  <a:prstGeom prst="rect">
                    <a:avLst/>
                  </a:prstGeom>
                  <a:noFill/>
                  <a:ln>
                    <a:noFill/>
                  </a:ln>
                </pic:spPr>
              </pic:pic>
            </a:graphicData>
          </a:graphic>
        </wp:inline>
      </w:drawing>
    </w:r>
    <w:r>
      <w:rPr>
        <w:noProof/>
      </w:rPr>
      <w:t xml:space="preserve">      </w:t>
    </w:r>
    <w:r>
      <w:rPr>
        <w:noProof/>
      </w:rPr>
      <w:drawing>
        <wp:inline distT="0" distB="0" distL="0" distR="0" wp14:anchorId="272030E8" wp14:editId="1901043C">
          <wp:extent cx="1280160" cy="489683"/>
          <wp:effectExtent l="0" t="0" r="0" b="5715"/>
          <wp:docPr id="5" name="Resim 5" descr="logo 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rasmus P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567" cy="492516"/>
                  </a:xfrm>
                  <a:prstGeom prst="rect">
                    <a:avLst/>
                  </a:prstGeom>
                  <a:noFill/>
                  <a:ln>
                    <a:noFill/>
                  </a:ln>
                </pic:spPr>
              </pic:pic>
            </a:graphicData>
          </a:graphic>
        </wp:inline>
      </w:drawing>
    </w:r>
    <w:r>
      <w:rPr>
        <w:noProof/>
      </w:rPr>
      <w:t xml:space="preserve">   </w:t>
    </w:r>
  </w:p>
  <w:p w:rsidR="002C0933" w:rsidRDefault="002C09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C0"/>
    <w:rsid w:val="000012CD"/>
    <w:rsid w:val="0006201F"/>
    <w:rsid w:val="000746CD"/>
    <w:rsid w:val="00075091"/>
    <w:rsid w:val="000B06E7"/>
    <w:rsid w:val="000B30C8"/>
    <w:rsid w:val="000C089B"/>
    <w:rsid w:val="000D5DFA"/>
    <w:rsid w:val="000F7EB2"/>
    <w:rsid w:val="00121AD3"/>
    <w:rsid w:val="00133AEE"/>
    <w:rsid w:val="001373E0"/>
    <w:rsid w:val="00174E31"/>
    <w:rsid w:val="00180907"/>
    <w:rsid w:val="001D055E"/>
    <w:rsid w:val="002121D2"/>
    <w:rsid w:val="00226ED0"/>
    <w:rsid w:val="00235A49"/>
    <w:rsid w:val="00263E11"/>
    <w:rsid w:val="002C0933"/>
    <w:rsid w:val="002C6126"/>
    <w:rsid w:val="002E643B"/>
    <w:rsid w:val="003100EB"/>
    <w:rsid w:val="00377392"/>
    <w:rsid w:val="003A12D9"/>
    <w:rsid w:val="003D0222"/>
    <w:rsid w:val="004060A9"/>
    <w:rsid w:val="0048534A"/>
    <w:rsid w:val="005E7B6F"/>
    <w:rsid w:val="0065691B"/>
    <w:rsid w:val="006B6231"/>
    <w:rsid w:val="006B64E0"/>
    <w:rsid w:val="006F2D26"/>
    <w:rsid w:val="007926C0"/>
    <w:rsid w:val="007C4EEF"/>
    <w:rsid w:val="007F04A6"/>
    <w:rsid w:val="00833DA1"/>
    <w:rsid w:val="00A315BA"/>
    <w:rsid w:val="00A65A09"/>
    <w:rsid w:val="00A85CA2"/>
    <w:rsid w:val="00A972DA"/>
    <w:rsid w:val="00AD67FA"/>
    <w:rsid w:val="00B916EB"/>
    <w:rsid w:val="00BB19C5"/>
    <w:rsid w:val="00BB27E3"/>
    <w:rsid w:val="00BC4174"/>
    <w:rsid w:val="00BE7D11"/>
    <w:rsid w:val="00C03C89"/>
    <w:rsid w:val="00C46A5B"/>
    <w:rsid w:val="00C52FA1"/>
    <w:rsid w:val="00C81FCF"/>
    <w:rsid w:val="00C864CC"/>
    <w:rsid w:val="00CC447C"/>
    <w:rsid w:val="00D12C64"/>
    <w:rsid w:val="00D835BB"/>
    <w:rsid w:val="00E02FF3"/>
    <w:rsid w:val="00E16010"/>
    <w:rsid w:val="00F302FD"/>
    <w:rsid w:val="00F3774F"/>
    <w:rsid w:val="00F638B2"/>
    <w:rsid w:val="00FA5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5091"/>
    <w:rPr>
      <w:color w:val="0000FF" w:themeColor="hyperlink"/>
      <w:u w:val="single"/>
    </w:rPr>
  </w:style>
  <w:style w:type="table" w:styleId="TabloKlavuzu">
    <w:name w:val="Table Grid"/>
    <w:basedOn w:val="NormalTablo"/>
    <w:uiPriority w:val="39"/>
    <w:rsid w:val="002121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38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8B2"/>
    <w:rPr>
      <w:rFonts w:ascii="Tahoma" w:hAnsi="Tahoma" w:cs="Tahoma"/>
      <w:sz w:val="16"/>
      <w:szCs w:val="16"/>
    </w:rPr>
  </w:style>
  <w:style w:type="paragraph" w:styleId="stbilgi">
    <w:name w:val="header"/>
    <w:basedOn w:val="Normal"/>
    <w:link w:val="stbilgiChar"/>
    <w:uiPriority w:val="99"/>
    <w:unhideWhenUsed/>
    <w:rsid w:val="002C09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933"/>
  </w:style>
  <w:style w:type="paragraph" w:styleId="Altbilgi">
    <w:name w:val="footer"/>
    <w:basedOn w:val="Normal"/>
    <w:link w:val="AltbilgiChar"/>
    <w:uiPriority w:val="99"/>
    <w:unhideWhenUsed/>
    <w:rsid w:val="002C09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933"/>
  </w:style>
  <w:style w:type="paragraph" w:styleId="NormalWeb">
    <w:name w:val="Normal (Web)"/>
    <w:basedOn w:val="Normal"/>
    <w:uiPriority w:val="99"/>
    <w:semiHidden/>
    <w:unhideWhenUsed/>
    <w:rsid w:val="002C09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5091"/>
    <w:rPr>
      <w:color w:val="0000FF" w:themeColor="hyperlink"/>
      <w:u w:val="single"/>
    </w:rPr>
  </w:style>
  <w:style w:type="table" w:styleId="TabloKlavuzu">
    <w:name w:val="Table Grid"/>
    <w:basedOn w:val="NormalTablo"/>
    <w:uiPriority w:val="39"/>
    <w:rsid w:val="002121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38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8B2"/>
    <w:rPr>
      <w:rFonts w:ascii="Tahoma" w:hAnsi="Tahoma" w:cs="Tahoma"/>
      <w:sz w:val="16"/>
      <w:szCs w:val="16"/>
    </w:rPr>
  </w:style>
  <w:style w:type="paragraph" w:styleId="stbilgi">
    <w:name w:val="header"/>
    <w:basedOn w:val="Normal"/>
    <w:link w:val="stbilgiChar"/>
    <w:uiPriority w:val="99"/>
    <w:unhideWhenUsed/>
    <w:rsid w:val="002C09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933"/>
  </w:style>
  <w:style w:type="paragraph" w:styleId="Altbilgi">
    <w:name w:val="footer"/>
    <w:basedOn w:val="Normal"/>
    <w:link w:val="AltbilgiChar"/>
    <w:uiPriority w:val="99"/>
    <w:unhideWhenUsed/>
    <w:rsid w:val="002C09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933"/>
  </w:style>
  <w:style w:type="paragraph" w:styleId="NormalWeb">
    <w:name w:val="Normal (Web)"/>
    <w:basedOn w:val="Normal"/>
    <w:uiPriority w:val="99"/>
    <w:semiHidden/>
    <w:unhideWhenUsed/>
    <w:rsid w:val="002C09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80526">
      <w:bodyDiv w:val="1"/>
      <w:marLeft w:val="0"/>
      <w:marRight w:val="0"/>
      <w:marTop w:val="0"/>
      <w:marBottom w:val="0"/>
      <w:divBdr>
        <w:top w:val="none" w:sz="0" w:space="0" w:color="auto"/>
        <w:left w:val="none" w:sz="0" w:space="0" w:color="auto"/>
        <w:bottom w:val="none" w:sz="0" w:space="0" w:color="auto"/>
        <w:right w:val="none" w:sz="0" w:space="0" w:color="auto"/>
      </w:divBdr>
    </w:div>
    <w:div w:id="9116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programmes/erasmus-plus/resources/distance-calculator_en" TargetMode="External"/><Relationship Id="rId4" Type="http://schemas.openxmlformats.org/officeDocument/2006/relationships/webSettings" Target="webSettings.xml"/><Relationship Id="rId9" Type="http://schemas.openxmlformats.org/officeDocument/2006/relationships/hyperlink" Target="https://www.ua.gov.tr/anasayfa/icerikler/baglanti-ve-dokumanlar/2024-donemi-ka171-sozlesme-belgele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1308</Words>
  <Characters>7460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Benay KESKIN</dc:creator>
  <cp:lastModifiedBy>Benay KESKIN</cp:lastModifiedBy>
  <cp:revision>23</cp:revision>
  <dcterms:created xsi:type="dcterms:W3CDTF">2024-10-24T12:28:00Z</dcterms:created>
  <dcterms:modified xsi:type="dcterms:W3CDTF">2024-11-20T12:37:00Z</dcterms:modified>
</cp:coreProperties>
</file>