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2D" w:rsidRPr="00753F53" w:rsidRDefault="0027353A" w:rsidP="00753F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53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27353A" w:rsidRPr="00753F53" w:rsidRDefault="0027353A" w:rsidP="00753F5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3">
        <w:rPr>
          <w:rFonts w:ascii="Times New Roman" w:hAnsi="Times New Roman" w:cs="Times New Roman"/>
          <w:sz w:val="24"/>
          <w:szCs w:val="24"/>
        </w:rPr>
        <w:t>The 2018 balance sheet of Spieth’s Golf Shop, Inc., showed long-term debt of $1.565 million, and the 2019 balance sheet showed long-term debt of $1.645 million. The 2019 income statement showed an interest expense of $170.000. what was the firm’s cash flow to creditors during 2019?</w:t>
      </w:r>
    </w:p>
    <w:p w:rsidR="00CB77A6" w:rsidRPr="00753F53" w:rsidRDefault="00CB77A6" w:rsidP="00753F5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4EB" w:rsidRPr="00753F53" w:rsidRDefault="00CB77A6" w:rsidP="00753F5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3">
        <w:rPr>
          <w:rFonts w:ascii="Times New Roman" w:hAnsi="Times New Roman" w:cs="Times New Roman"/>
          <w:sz w:val="24"/>
          <w:szCs w:val="24"/>
        </w:rPr>
        <w:t>The 2018 balance sheet of Spieth’s Golf Shop, Inc., showed $490.000 in the common stock account and $3.4 million in the additional paid-in surplus account. The 2019 balance sheet showed $525.000 and +3.75 million in the same two accounts, respectively. If the sompany paid out $335,000 in cash dividends during 2019, what was the cash flow t</w:t>
      </w:r>
      <w:r w:rsidR="00253AD8">
        <w:rPr>
          <w:rFonts w:ascii="Times New Roman" w:hAnsi="Times New Roman" w:cs="Times New Roman"/>
          <w:sz w:val="24"/>
          <w:szCs w:val="24"/>
        </w:rPr>
        <w:t>o stockholders for</w:t>
      </w:r>
      <w:r w:rsidRPr="00753F53">
        <w:rPr>
          <w:rFonts w:ascii="Times New Roman" w:hAnsi="Times New Roman" w:cs="Times New Roman"/>
          <w:sz w:val="24"/>
          <w:szCs w:val="24"/>
        </w:rPr>
        <w:t xml:space="preserve"> </w:t>
      </w:r>
      <w:r w:rsidR="00253AD8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Pr="00753F53">
        <w:rPr>
          <w:rFonts w:ascii="Times New Roman" w:hAnsi="Times New Roman" w:cs="Times New Roman"/>
          <w:sz w:val="24"/>
          <w:szCs w:val="24"/>
        </w:rPr>
        <w:t>he year?</w:t>
      </w:r>
    </w:p>
    <w:p w:rsidR="00CB77A6" w:rsidRPr="00753F53" w:rsidRDefault="00CB77A6" w:rsidP="00753F5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B77A6" w:rsidRPr="00753F53" w:rsidRDefault="00752FF0" w:rsidP="00753F5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3">
        <w:rPr>
          <w:rFonts w:ascii="Times New Roman" w:hAnsi="Times New Roman" w:cs="Times New Roman"/>
          <w:sz w:val="24"/>
          <w:szCs w:val="24"/>
        </w:rPr>
        <w:t>Given the information for Spieth’s Golf Shop, Inc., in the previous two problems, suppose you also know that the firm’s net capital spending for 2019 was $735,00 and that the firm reduced its net working capital investment by $96,000. What was the firm’s 2019 operating cash flow, or OCF?</w:t>
      </w:r>
    </w:p>
    <w:p w:rsidR="008173B3" w:rsidRPr="00753F53" w:rsidRDefault="008173B3" w:rsidP="00753F53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73B3" w:rsidRPr="00753F53" w:rsidRDefault="008173B3" w:rsidP="00753F5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3">
        <w:rPr>
          <w:rFonts w:ascii="Times New Roman" w:hAnsi="Times New Roman" w:cs="Times New Roman"/>
          <w:sz w:val="24"/>
          <w:szCs w:val="24"/>
        </w:rPr>
        <w:t>Ritter Corporation’s accountants prepared the following financial statements for year-end 2019:</w:t>
      </w:r>
    </w:p>
    <w:p w:rsidR="008173B3" w:rsidRPr="00753F53" w:rsidRDefault="008173B3" w:rsidP="00753F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F53">
        <w:rPr>
          <w:rFonts w:ascii="Times New Roman" w:hAnsi="Times New Roman" w:cs="Times New Roman"/>
          <w:sz w:val="24"/>
          <w:szCs w:val="24"/>
        </w:rPr>
        <w:t>Explain tha change in cash during 2019.</w:t>
      </w:r>
    </w:p>
    <w:p w:rsidR="008173B3" w:rsidRPr="00753F53" w:rsidRDefault="008173B3" w:rsidP="00753F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F53">
        <w:rPr>
          <w:rFonts w:ascii="Times New Roman" w:hAnsi="Times New Roman" w:cs="Times New Roman"/>
          <w:sz w:val="24"/>
          <w:szCs w:val="24"/>
        </w:rPr>
        <w:t>Determine the change in net working capital in 2019.</w:t>
      </w:r>
    </w:p>
    <w:p w:rsidR="008173B3" w:rsidRPr="00753F53" w:rsidRDefault="008173B3" w:rsidP="00753F5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3F53">
        <w:rPr>
          <w:rFonts w:ascii="Times New Roman" w:hAnsi="Times New Roman" w:cs="Times New Roman"/>
          <w:sz w:val="24"/>
          <w:szCs w:val="24"/>
        </w:rPr>
        <w:t>Determine the cash flow generated by the firm’s assets during 2019.</w:t>
      </w:r>
    </w:p>
    <w:p w:rsidR="00413621" w:rsidRPr="00753F53" w:rsidRDefault="00413621" w:rsidP="00753F5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081"/>
        <w:gridCol w:w="4081"/>
      </w:tblGrid>
      <w:tr w:rsidR="00413621" w:rsidRPr="00753F53" w:rsidTr="0090050D">
        <w:tc>
          <w:tcPr>
            <w:tcW w:w="8162" w:type="dxa"/>
            <w:gridSpan w:val="2"/>
          </w:tcPr>
          <w:p w:rsidR="00413621" w:rsidRPr="00753F53" w:rsidRDefault="00413621" w:rsidP="00753F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Ritter Corporation </w:t>
            </w:r>
          </w:p>
          <w:p w:rsidR="00413621" w:rsidRPr="00753F53" w:rsidRDefault="00413621" w:rsidP="00753F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Income Statement </w:t>
            </w:r>
          </w:p>
          <w:p w:rsidR="00413621" w:rsidRPr="00753F53" w:rsidRDefault="00413621" w:rsidP="00753F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13621" w:rsidRPr="00753F53" w:rsidTr="00413621">
        <w:tc>
          <w:tcPr>
            <w:tcW w:w="4081" w:type="dxa"/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Revenue</w:t>
            </w:r>
          </w:p>
        </w:tc>
        <w:tc>
          <w:tcPr>
            <w:tcW w:w="4081" w:type="dxa"/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$797</w:t>
            </w:r>
          </w:p>
        </w:tc>
      </w:tr>
      <w:tr w:rsidR="00413621" w:rsidRPr="00753F53" w:rsidTr="00413621">
        <w:tc>
          <w:tcPr>
            <w:tcW w:w="4081" w:type="dxa"/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Expenses</w:t>
            </w:r>
          </w:p>
        </w:tc>
        <w:tc>
          <w:tcPr>
            <w:tcW w:w="4081" w:type="dxa"/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413621" w:rsidRPr="00753F53" w:rsidTr="00413621">
        <w:tc>
          <w:tcPr>
            <w:tcW w:w="4081" w:type="dxa"/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Depreciation</w:t>
            </w:r>
          </w:p>
        </w:tc>
        <w:tc>
          <w:tcPr>
            <w:tcW w:w="4081" w:type="dxa"/>
            <w:tcBorders>
              <w:bottom w:val="single" w:sz="12" w:space="0" w:color="auto"/>
            </w:tcBorders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13621" w:rsidRPr="00753F53" w:rsidTr="00413621">
        <w:tc>
          <w:tcPr>
            <w:tcW w:w="4081" w:type="dxa"/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Net income</w:t>
            </w:r>
          </w:p>
        </w:tc>
        <w:tc>
          <w:tcPr>
            <w:tcW w:w="4081" w:type="dxa"/>
            <w:tcBorders>
              <w:top w:val="single" w:sz="12" w:space="0" w:color="auto"/>
            </w:tcBorders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$129</w:t>
            </w:r>
          </w:p>
        </w:tc>
      </w:tr>
      <w:tr w:rsidR="00413621" w:rsidRPr="00753F53" w:rsidTr="00413621">
        <w:tc>
          <w:tcPr>
            <w:tcW w:w="4081" w:type="dxa"/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Dividends</w:t>
            </w:r>
          </w:p>
        </w:tc>
        <w:tc>
          <w:tcPr>
            <w:tcW w:w="4081" w:type="dxa"/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$97</w:t>
            </w:r>
          </w:p>
        </w:tc>
      </w:tr>
    </w:tbl>
    <w:p w:rsidR="00413621" w:rsidRPr="00753F53" w:rsidRDefault="00413621" w:rsidP="00753F5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13621" w:rsidRPr="00753F53" w:rsidRDefault="00413621" w:rsidP="00753F5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13621" w:rsidRPr="00753F53" w:rsidRDefault="00413621" w:rsidP="00753F5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13621" w:rsidRPr="00753F53" w:rsidRDefault="00413621" w:rsidP="00753F5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13621" w:rsidRPr="00753F53" w:rsidRDefault="00413621" w:rsidP="00753F5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043"/>
        <w:gridCol w:w="1503"/>
        <w:gridCol w:w="2616"/>
      </w:tblGrid>
      <w:tr w:rsidR="00413621" w:rsidRPr="00753F53" w:rsidTr="000845C8">
        <w:tc>
          <w:tcPr>
            <w:tcW w:w="8162" w:type="dxa"/>
            <w:gridSpan w:val="3"/>
          </w:tcPr>
          <w:p w:rsidR="00413621" w:rsidRPr="00753F53" w:rsidRDefault="00413621" w:rsidP="00753F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Ritter Corporation</w:t>
            </w:r>
          </w:p>
          <w:p w:rsidR="00413621" w:rsidRPr="00753F53" w:rsidRDefault="00413621" w:rsidP="00753F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Balance Sheet</w:t>
            </w:r>
          </w:p>
          <w:p w:rsidR="00413621" w:rsidRPr="00753F53" w:rsidRDefault="00413621" w:rsidP="00753F5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December 31</w:t>
            </w:r>
          </w:p>
        </w:tc>
      </w:tr>
      <w:tr w:rsidR="00413621" w:rsidRPr="00753F53" w:rsidTr="00753F53">
        <w:tc>
          <w:tcPr>
            <w:tcW w:w="4043" w:type="dxa"/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b/>
                <w:sz w:val="24"/>
                <w:szCs w:val="24"/>
              </w:rPr>
              <w:t>Assets</w:t>
            </w:r>
          </w:p>
        </w:tc>
        <w:tc>
          <w:tcPr>
            <w:tcW w:w="1503" w:type="dxa"/>
            <w:tcBorders>
              <w:right w:val="single" w:sz="2" w:space="0" w:color="auto"/>
            </w:tcBorders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2616" w:type="dxa"/>
            <w:tcBorders>
              <w:left w:val="single" w:sz="2" w:space="0" w:color="auto"/>
            </w:tcBorders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413621" w:rsidRPr="00753F53" w:rsidTr="00753F53">
        <w:tc>
          <w:tcPr>
            <w:tcW w:w="4043" w:type="dxa"/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Cash</w:t>
            </w:r>
          </w:p>
        </w:tc>
        <w:tc>
          <w:tcPr>
            <w:tcW w:w="1503" w:type="dxa"/>
            <w:tcBorders>
              <w:right w:val="single" w:sz="2" w:space="0" w:color="auto"/>
            </w:tcBorders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$ 63</w:t>
            </w:r>
          </w:p>
        </w:tc>
        <w:tc>
          <w:tcPr>
            <w:tcW w:w="2616" w:type="dxa"/>
            <w:tcBorders>
              <w:left w:val="single" w:sz="2" w:space="0" w:color="auto"/>
              <w:bottom w:val="single" w:sz="2" w:space="0" w:color="auto"/>
            </w:tcBorders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$ 84</w:t>
            </w:r>
          </w:p>
        </w:tc>
      </w:tr>
      <w:tr w:rsidR="00413621" w:rsidRPr="00753F53" w:rsidTr="00753F53">
        <w:tc>
          <w:tcPr>
            <w:tcW w:w="4043" w:type="dxa"/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Other current assets</w:t>
            </w:r>
          </w:p>
        </w:tc>
        <w:tc>
          <w:tcPr>
            <w:tcW w:w="1503" w:type="dxa"/>
            <w:tcBorders>
              <w:right w:val="single" w:sz="2" w:space="0" w:color="auto"/>
            </w:tcBorders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616" w:type="dxa"/>
            <w:tcBorders>
              <w:top w:val="single" w:sz="2" w:space="0" w:color="auto"/>
              <w:left w:val="single" w:sz="2" w:space="0" w:color="auto"/>
            </w:tcBorders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413621" w:rsidRPr="00753F53" w:rsidTr="00753F53">
        <w:tc>
          <w:tcPr>
            <w:tcW w:w="4043" w:type="dxa"/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Net fixed assets</w:t>
            </w:r>
          </w:p>
        </w:tc>
        <w:tc>
          <w:tcPr>
            <w:tcW w:w="1503" w:type="dxa"/>
            <w:tcBorders>
              <w:bottom w:val="single" w:sz="12" w:space="0" w:color="auto"/>
              <w:right w:val="single" w:sz="2" w:space="0" w:color="auto"/>
            </w:tcBorders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616" w:type="dxa"/>
            <w:tcBorders>
              <w:left w:val="single" w:sz="2" w:space="0" w:color="auto"/>
              <w:bottom w:val="single" w:sz="12" w:space="0" w:color="auto"/>
            </w:tcBorders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413621" w:rsidRPr="00753F53" w:rsidTr="00753F53">
        <w:tc>
          <w:tcPr>
            <w:tcW w:w="4043" w:type="dxa"/>
          </w:tcPr>
          <w:p w:rsidR="00413621" w:rsidRPr="00753F53" w:rsidRDefault="00413621" w:rsidP="0075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      Total assets</w:t>
            </w:r>
          </w:p>
        </w:tc>
        <w:tc>
          <w:tcPr>
            <w:tcW w:w="1503" w:type="dxa"/>
            <w:tcBorders>
              <w:top w:val="single" w:sz="12" w:space="0" w:color="auto"/>
              <w:right w:val="single" w:sz="2" w:space="0" w:color="auto"/>
            </w:tcBorders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$636</w:t>
            </w:r>
          </w:p>
        </w:tc>
        <w:tc>
          <w:tcPr>
            <w:tcW w:w="2616" w:type="dxa"/>
            <w:tcBorders>
              <w:top w:val="single" w:sz="12" w:space="0" w:color="auto"/>
              <w:left w:val="single" w:sz="2" w:space="0" w:color="auto"/>
            </w:tcBorders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$693</w:t>
            </w:r>
          </w:p>
        </w:tc>
      </w:tr>
      <w:tr w:rsidR="00413621" w:rsidRPr="00753F53" w:rsidTr="00753F53">
        <w:tc>
          <w:tcPr>
            <w:tcW w:w="4043" w:type="dxa"/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b/>
                <w:sz w:val="24"/>
                <w:szCs w:val="24"/>
              </w:rPr>
              <w:t>Liabilities and Equity</w:t>
            </w:r>
          </w:p>
        </w:tc>
        <w:tc>
          <w:tcPr>
            <w:tcW w:w="1503" w:type="dxa"/>
            <w:tcBorders>
              <w:right w:val="single" w:sz="2" w:space="0" w:color="auto"/>
            </w:tcBorders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tcBorders>
              <w:left w:val="single" w:sz="2" w:space="0" w:color="auto"/>
            </w:tcBorders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621" w:rsidRPr="00753F53" w:rsidTr="00753F53">
        <w:tc>
          <w:tcPr>
            <w:tcW w:w="4043" w:type="dxa"/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Accounts payable</w:t>
            </w:r>
          </w:p>
        </w:tc>
        <w:tc>
          <w:tcPr>
            <w:tcW w:w="1503" w:type="dxa"/>
            <w:tcBorders>
              <w:right w:val="single" w:sz="2" w:space="0" w:color="auto"/>
            </w:tcBorders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$129</w:t>
            </w:r>
          </w:p>
        </w:tc>
        <w:tc>
          <w:tcPr>
            <w:tcW w:w="2616" w:type="dxa"/>
            <w:tcBorders>
              <w:left w:val="single" w:sz="2" w:space="0" w:color="auto"/>
            </w:tcBorders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$146</w:t>
            </w:r>
          </w:p>
        </w:tc>
      </w:tr>
      <w:tr w:rsidR="00413621" w:rsidRPr="00753F53" w:rsidTr="00753F53">
        <w:tc>
          <w:tcPr>
            <w:tcW w:w="4043" w:type="dxa"/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Long-term debt</w:t>
            </w:r>
          </w:p>
        </w:tc>
        <w:tc>
          <w:tcPr>
            <w:tcW w:w="1503" w:type="dxa"/>
            <w:tcBorders>
              <w:right w:val="single" w:sz="2" w:space="0" w:color="auto"/>
            </w:tcBorders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616" w:type="dxa"/>
            <w:tcBorders>
              <w:left w:val="single" w:sz="2" w:space="0" w:color="auto"/>
            </w:tcBorders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413621" w:rsidRPr="00753F53" w:rsidTr="00753F53">
        <w:tc>
          <w:tcPr>
            <w:tcW w:w="4043" w:type="dxa"/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Stockholders’ equity</w:t>
            </w:r>
          </w:p>
        </w:tc>
        <w:tc>
          <w:tcPr>
            <w:tcW w:w="1503" w:type="dxa"/>
            <w:tcBorders>
              <w:bottom w:val="single" w:sz="12" w:space="0" w:color="auto"/>
              <w:right w:val="single" w:sz="2" w:space="0" w:color="auto"/>
            </w:tcBorders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616" w:type="dxa"/>
            <w:tcBorders>
              <w:left w:val="single" w:sz="2" w:space="0" w:color="auto"/>
              <w:bottom w:val="single" w:sz="12" w:space="0" w:color="auto"/>
            </w:tcBorders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</w:tr>
      <w:tr w:rsidR="00413621" w:rsidRPr="00753F53" w:rsidTr="00753F53">
        <w:tc>
          <w:tcPr>
            <w:tcW w:w="4043" w:type="dxa"/>
          </w:tcPr>
          <w:p w:rsidR="00413621" w:rsidRPr="00753F53" w:rsidRDefault="00413621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 xml:space="preserve">      Total liabilities and equity</w:t>
            </w:r>
          </w:p>
        </w:tc>
        <w:tc>
          <w:tcPr>
            <w:tcW w:w="1503" w:type="dxa"/>
            <w:tcBorders>
              <w:top w:val="single" w:sz="12" w:space="0" w:color="auto"/>
              <w:right w:val="single" w:sz="2" w:space="0" w:color="auto"/>
            </w:tcBorders>
          </w:tcPr>
          <w:p w:rsidR="00413621" w:rsidRPr="00753F53" w:rsidRDefault="00753F53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$636</w:t>
            </w:r>
          </w:p>
        </w:tc>
        <w:tc>
          <w:tcPr>
            <w:tcW w:w="2616" w:type="dxa"/>
            <w:tcBorders>
              <w:top w:val="single" w:sz="12" w:space="0" w:color="auto"/>
              <w:left w:val="single" w:sz="2" w:space="0" w:color="auto"/>
            </w:tcBorders>
          </w:tcPr>
          <w:p w:rsidR="00413621" w:rsidRPr="00753F53" w:rsidRDefault="00753F53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$693</w:t>
            </w:r>
          </w:p>
        </w:tc>
      </w:tr>
    </w:tbl>
    <w:p w:rsidR="00413621" w:rsidRPr="00753F53" w:rsidRDefault="00413621" w:rsidP="00753F53">
      <w:pPr>
        <w:pStyle w:val="ListParagraph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173B3" w:rsidRPr="00753F53" w:rsidRDefault="00753F53" w:rsidP="00753F5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53">
        <w:rPr>
          <w:rFonts w:ascii="Times New Roman" w:hAnsi="Times New Roman" w:cs="Times New Roman"/>
          <w:sz w:val="24"/>
          <w:szCs w:val="24"/>
        </w:rPr>
        <w:t>The Stancil Corporation provided the following current information: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273"/>
        <w:gridCol w:w="3889"/>
      </w:tblGrid>
      <w:tr w:rsidR="00753F53" w:rsidRPr="00753F53" w:rsidTr="00753F53">
        <w:tc>
          <w:tcPr>
            <w:tcW w:w="4273" w:type="dxa"/>
          </w:tcPr>
          <w:p w:rsidR="00753F53" w:rsidRPr="00753F53" w:rsidRDefault="00753F53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Proceeds from long-term borrowing</w:t>
            </w:r>
          </w:p>
        </w:tc>
        <w:tc>
          <w:tcPr>
            <w:tcW w:w="3889" w:type="dxa"/>
          </w:tcPr>
          <w:p w:rsidR="00753F53" w:rsidRPr="00753F53" w:rsidRDefault="00753F53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$16,400</w:t>
            </w:r>
          </w:p>
        </w:tc>
      </w:tr>
      <w:tr w:rsidR="00753F53" w:rsidRPr="00753F53" w:rsidTr="00753F53">
        <w:tc>
          <w:tcPr>
            <w:tcW w:w="4273" w:type="dxa"/>
          </w:tcPr>
          <w:p w:rsidR="00753F53" w:rsidRPr="00753F53" w:rsidRDefault="00753F53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Proceeds from the sale of common stock</w:t>
            </w:r>
          </w:p>
        </w:tc>
        <w:tc>
          <w:tcPr>
            <w:tcW w:w="3889" w:type="dxa"/>
          </w:tcPr>
          <w:p w:rsidR="00753F53" w:rsidRPr="00753F53" w:rsidRDefault="00753F53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</w:tr>
      <w:tr w:rsidR="00753F53" w:rsidRPr="00753F53" w:rsidTr="00753F53">
        <w:tc>
          <w:tcPr>
            <w:tcW w:w="4273" w:type="dxa"/>
          </w:tcPr>
          <w:p w:rsidR="00753F53" w:rsidRPr="00753F53" w:rsidRDefault="00753F53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Purchases of fixed asstes</w:t>
            </w:r>
          </w:p>
        </w:tc>
        <w:tc>
          <w:tcPr>
            <w:tcW w:w="3889" w:type="dxa"/>
            <w:tcBorders>
              <w:bottom w:val="single" w:sz="12" w:space="0" w:color="auto"/>
            </w:tcBorders>
          </w:tcPr>
          <w:p w:rsidR="00753F53" w:rsidRPr="00753F53" w:rsidRDefault="00753F53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29,000</w:t>
            </w:r>
          </w:p>
        </w:tc>
      </w:tr>
      <w:tr w:rsidR="00753F53" w:rsidRPr="00753F53" w:rsidTr="00753F53">
        <w:tc>
          <w:tcPr>
            <w:tcW w:w="4273" w:type="dxa"/>
          </w:tcPr>
          <w:p w:rsidR="00753F53" w:rsidRPr="00753F53" w:rsidRDefault="00753F53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Purchases of inventories</w:t>
            </w:r>
          </w:p>
        </w:tc>
        <w:tc>
          <w:tcPr>
            <w:tcW w:w="3889" w:type="dxa"/>
            <w:tcBorders>
              <w:top w:val="single" w:sz="12" w:space="0" w:color="auto"/>
            </w:tcBorders>
          </w:tcPr>
          <w:p w:rsidR="00753F53" w:rsidRPr="00753F53" w:rsidRDefault="00753F53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2,400</w:t>
            </w:r>
          </w:p>
        </w:tc>
      </w:tr>
      <w:tr w:rsidR="00753F53" w:rsidRPr="00753F53" w:rsidTr="00753F53">
        <w:tc>
          <w:tcPr>
            <w:tcW w:w="4273" w:type="dxa"/>
          </w:tcPr>
          <w:p w:rsidR="00753F53" w:rsidRPr="00753F53" w:rsidRDefault="00753F53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Payment of dividends</w:t>
            </w:r>
          </w:p>
        </w:tc>
        <w:tc>
          <w:tcPr>
            <w:tcW w:w="3889" w:type="dxa"/>
          </w:tcPr>
          <w:p w:rsidR="00753F53" w:rsidRPr="00753F53" w:rsidRDefault="00753F53" w:rsidP="00753F5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3F53">
              <w:rPr>
                <w:rFonts w:ascii="Times New Roman" w:hAnsi="Times New Roman" w:cs="Times New Roman"/>
                <w:sz w:val="24"/>
                <w:szCs w:val="24"/>
              </w:rPr>
              <w:t>13,100</w:t>
            </w:r>
          </w:p>
        </w:tc>
      </w:tr>
    </w:tbl>
    <w:p w:rsidR="00753F53" w:rsidRDefault="00753F53" w:rsidP="00753F53">
      <w:pPr>
        <w:spacing w:before="24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3F53">
        <w:rPr>
          <w:rFonts w:ascii="Times New Roman" w:hAnsi="Times New Roman" w:cs="Times New Roman"/>
          <w:sz w:val="24"/>
          <w:szCs w:val="24"/>
        </w:rPr>
        <w:t>Determine the total cash flows spent on fixed asstes and NWC. What are the cash flows to inventors of the firm?</w:t>
      </w:r>
    </w:p>
    <w:p w:rsidR="00133A56" w:rsidRPr="00753F53" w:rsidRDefault="00133A56" w:rsidP="00133A56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4EB" w:rsidRPr="00753F53" w:rsidRDefault="007824EB" w:rsidP="00753F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24EB" w:rsidRPr="00753F53" w:rsidSect="00EA0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DC2"/>
    <w:multiLevelType w:val="hybridMultilevel"/>
    <w:tmpl w:val="7804B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438C5"/>
    <w:multiLevelType w:val="hybridMultilevel"/>
    <w:tmpl w:val="F4E6C0EA"/>
    <w:lvl w:ilvl="0" w:tplc="997CC0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353A"/>
    <w:rsid w:val="00133A56"/>
    <w:rsid w:val="00253AD8"/>
    <w:rsid w:val="0027353A"/>
    <w:rsid w:val="00413621"/>
    <w:rsid w:val="00752FF0"/>
    <w:rsid w:val="00753F53"/>
    <w:rsid w:val="007824EB"/>
    <w:rsid w:val="008173B3"/>
    <w:rsid w:val="00A92A1C"/>
    <w:rsid w:val="00CB77A6"/>
    <w:rsid w:val="00E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53A"/>
    <w:pPr>
      <w:ind w:left="720"/>
      <w:contextualSpacing/>
    </w:pPr>
  </w:style>
  <w:style w:type="table" w:styleId="TableGrid">
    <w:name w:val="Table Grid"/>
    <w:basedOn w:val="TableNormal"/>
    <w:uiPriority w:val="59"/>
    <w:rsid w:val="00413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finanslab7</cp:lastModifiedBy>
  <cp:revision>4</cp:revision>
  <dcterms:created xsi:type="dcterms:W3CDTF">2019-09-15T16:59:00Z</dcterms:created>
  <dcterms:modified xsi:type="dcterms:W3CDTF">2019-09-20T11:09:00Z</dcterms:modified>
</cp:coreProperties>
</file>