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6"/>
        <w:gridCol w:w="620"/>
        <w:gridCol w:w="236"/>
        <w:gridCol w:w="236"/>
        <w:gridCol w:w="506"/>
        <w:gridCol w:w="236"/>
        <w:gridCol w:w="353"/>
        <w:gridCol w:w="832"/>
        <w:gridCol w:w="236"/>
        <w:gridCol w:w="428"/>
        <w:gridCol w:w="236"/>
        <w:gridCol w:w="328"/>
        <w:gridCol w:w="340"/>
        <w:gridCol w:w="236"/>
        <w:gridCol w:w="655"/>
        <w:gridCol w:w="236"/>
        <w:gridCol w:w="706"/>
        <w:gridCol w:w="252"/>
        <w:gridCol w:w="340"/>
        <w:gridCol w:w="655"/>
        <w:gridCol w:w="236"/>
        <w:gridCol w:w="655"/>
        <w:gridCol w:w="1261"/>
      </w:tblGrid>
      <w:tr w:rsidR="00044852" w14:paraId="2F2D2D05" w14:textId="77777777" w:rsidTr="007E3BB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BD6B54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46F48F60" w14:textId="77777777" w:rsidR="00044852" w:rsidRDefault="00044852" w:rsidP="007E3B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HUKUK  FAKÜLTESİ</w:t>
            </w:r>
          </w:p>
        </w:tc>
      </w:tr>
      <w:tr w:rsidR="00044852" w14:paraId="5E8286AE" w14:textId="77777777" w:rsidTr="007E3BB4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4D5CE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2B3A7E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6FDAF4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E2F7AA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044852" w14:paraId="7E16720D" w14:textId="77777777" w:rsidTr="007E3BB4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75B739" w14:textId="39DBC4F9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LAW </w:t>
            </w:r>
            <w:r w:rsidR="00352251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02E2C4" w14:textId="62ADC28B" w:rsidR="00044852" w:rsidRDefault="00352251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Ceza Hukukunda Güvenlik Tedbirleri 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CC269F9" w14:textId="14BBFED4" w:rsidR="00044852" w:rsidRDefault="00352251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4485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44852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683719" w14:textId="7C657E48" w:rsidR="00044852" w:rsidRDefault="00352251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18FAA34E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2250D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84F6BE" w14:textId="77777777" w:rsidR="00044852" w:rsidRDefault="00044852" w:rsidP="007E3B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044852" w14:paraId="3A3CAFB0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257975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7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56B52F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5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1A336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39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8F5855" w14:textId="72DA2B20" w:rsidR="00044852" w:rsidRDefault="009D0A8E" w:rsidP="007E3B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044852" w14:paraId="23F4084E" w14:textId="77777777" w:rsidTr="007E3BB4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2CC1B0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10F531A" w14:textId="3A0C2C67" w:rsidR="00044852" w:rsidRDefault="00C3286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044852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44852">
              <w:rPr>
                <w:rFonts w:ascii="Arial" w:hAnsi="Arial" w:cs="Arial"/>
                <w:sz w:val="20"/>
                <w:szCs w:val="20"/>
              </w:rPr>
              <w:t xml:space="preserve">.Yıl / </w:t>
            </w:r>
            <w:r>
              <w:rPr>
                <w:rFonts w:ascii="Arial" w:hAnsi="Arial" w:cs="Arial"/>
                <w:sz w:val="20"/>
                <w:szCs w:val="20"/>
              </w:rPr>
              <w:t>Güz</w:t>
            </w:r>
            <w:r w:rsidR="00044852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044852" w14:paraId="4D066F47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3EF557A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AF0B8C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5AFF1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F8A0F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74429D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44852" w14:paraId="0E3EE22A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E7E3E4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E6749" w14:textId="2B2E9B20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C32862">
              <w:rPr>
                <w:rFonts w:ascii="Arial" w:hAnsi="Arial" w:cs="Arial"/>
                <w:sz w:val="20"/>
                <w:szCs w:val="20"/>
              </w:rPr>
              <w:t>Celal Hakan KAN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6D43F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Salı:</w:t>
            </w:r>
          </w:p>
          <w:p w14:paraId="04D56307" w14:textId="347B79AC" w:rsidR="00044852" w:rsidRDefault="00253529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44852">
              <w:rPr>
                <w:rFonts w:ascii="Arial" w:hAnsi="Arial" w:cs="Arial"/>
                <w:sz w:val="20"/>
                <w:szCs w:val="20"/>
              </w:rPr>
              <w:t>:00-1</w:t>
            </w:r>
            <w:r w:rsidR="009D0A8E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44C688" w14:textId="33756F8A" w:rsidR="00044852" w:rsidRDefault="00253529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r w:rsidR="00044852">
              <w:rPr>
                <w:rFonts w:ascii="Arial" w:hAnsi="Arial" w:cs="Arial"/>
                <w:sz w:val="20"/>
                <w:szCs w:val="20"/>
              </w:rPr>
              <w:t>:</w:t>
            </w:r>
            <w:r w:rsidR="00C4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2:3</w:t>
            </w:r>
            <w:r w:rsidR="0004485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6:</w:t>
            </w:r>
            <w:r w:rsidR="00044852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E8111B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35490AB" w14:textId="110B177B" w:rsidR="00044852" w:rsidRDefault="009E3411" w:rsidP="009D0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celalhakankan@cag.edu.tr</w:t>
            </w:r>
          </w:p>
        </w:tc>
      </w:tr>
      <w:tr w:rsidR="00044852" w14:paraId="531C02DD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772A6B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FA31772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EC762AE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2218733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B4C8F23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4852" w14:paraId="0E360DEE" w14:textId="77777777" w:rsidTr="007E3BB4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A6A742" w14:textId="77777777" w:rsidR="00044852" w:rsidRDefault="00044852" w:rsidP="007E3BB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27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6B7A0D" w14:textId="44EE861C" w:rsidR="00044852" w:rsidRDefault="00AA5483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ders, Türk Ceza Hukuku’nda güvenlik tedbirlerinin kavramsal çerçevesini, uygulanma koşullarını ve hukuki sonuçlarını incelemeyi amaçlar. Suç işleyen kişilere yönelik </w:t>
            </w:r>
            <w:r w:rsidR="00EC7ED0">
              <w:rPr>
                <w:rFonts w:ascii="Arial" w:hAnsi="Arial" w:cs="Arial"/>
                <w:sz w:val="20"/>
                <w:szCs w:val="20"/>
              </w:rPr>
              <w:t xml:space="preserve">ceza </w:t>
            </w:r>
            <w:r w:rsidR="002A4337">
              <w:rPr>
                <w:rFonts w:ascii="Arial" w:hAnsi="Arial" w:cs="Arial"/>
                <w:sz w:val="20"/>
                <w:szCs w:val="20"/>
              </w:rPr>
              <w:t xml:space="preserve">yaptırımları dışında öngörülen güvenlik tedbirlerinin hukuk düzenindeki yerini, işlevini ve uygulanma biçimlerini değerlendirmeyi hedefler. </w:t>
            </w:r>
          </w:p>
        </w:tc>
      </w:tr>
      <w:tr w:rsidR="00044852" w14:paraId="495215AC" w14:textId="77777777" w:rsidTr="007E3BB4">
        <w:trPr>
          <w:jc w:val="center"/>
        </w:trPr>
        <w:tc>
          <w:tcPr>
            <w:tcW w:w="116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AC128B2" w14:textId="77777777" w:rsidR="00044852" w:rsidRDefault="00044852" w:rsidP="007E3B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30835" w14:textId="77777777" w:rsidR="00044852" w:rsidRDefault="00044852" w:rsidP="007E3B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2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99EC765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546E7E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28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1FBAE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044852" w14:paraId="1870F4C1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D163495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7EC34D0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BB2CCA2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117C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8D903B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044852" w14:paraId="5909BD69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06A3F18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03514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55247FE" w14:textId="6754A550" w:rsidR="00044852" w:rsidRDefault="00BE1F3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Güvenlik tedbirlerinin kavramsal çerçevesi</w:t>
            </w:r>
            <w:r w:rsidR="00175A13">
              <w:rPr>
                <w:rFonts w:ascii="Arial" w:hAnsi="Arial" w:cs="Arial"/>
                <w:sz w:val="20"/>
                <w:szCs w:val="20"/>
              </w:rPr>
              <w:t xml:space="preserve">, hukuki niteliği ve uygulanma koşullarını öğrenir. 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A0B96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0F4C3D6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72B14E23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5B448B9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56CA6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9FD285" w14:textId="5A54EB12" w:rsidR="00044852" w:rsidRDefault="00175A13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Güvenlik tedbirleri türleri</w:t>
            </w:r>
            <w:r w:rsidR="00D308F0">
              <w:rPr>
                <w:rFonts w:ascii="Arial" w:hAnsi="Arial" w:cs="Arial"/>
                <w:sz w:val="20"/>
                <w:szCs w:val="20"/>
              </w:rPr>
              <w:t xml:space="preserve"> ve başvuru yolları hakkında bilgi sahibi olur. 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5C10E3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9007C6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31A18463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70F82F0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1EEC2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56927F" w14:textId="5F754C11" w:rsidR="00044852" w:rsidRDefault="00D308F0" w:rsidP="007E3BB4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Tüzel kişiler hakkında güvenlik tedbirleri hakkında bilgi sahibi olur. 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3EF56C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59D73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485B372D" w14:textId="77777777" w:rsidTr="007E3BB4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60A109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0E8C4B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28F1A9" w14:textId="29A20DCD" w:rsidR="00044852" w:rsidRDefault="007B7A4F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Güvenlik tedbirlerinin uygulanması güncel örnekleri hakkında bilgi sahibi olur. 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CBC720" w14:textId="7777777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A2CB39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852" w14:paraId="0C263127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E60A1A5" w14:textId="03D431E4" w:rsidR="00044852" w:rsidRDefault="00044852" w:rsidP="007E3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4852" w14:paraId="7E28F28A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38628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044852" w14:paraId="2D12250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D90F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E039A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410FCF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AC61B4D" w14:textId="77777777" w:rsidR="00044852" w:rsidRDefault="00044852" w:rsidP="007E3BB4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044852" w14:paraId="4465A8C8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233F0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35E64D" w14:textId="15ABA208" w:rsidR="00044852" w:rsidRDefault="00DD5B08" w:rsidP="007E3BB4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Güvenlik Tedbirlerinin Kavramsal Çerçevesi ve Amacı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D1145B" w14:textId="7E1A9AD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06AE9E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4DF078F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B08E224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D83E9D" w14:textId="2E3A7E08" w:rsidR="00044852" w:rsidRDefault="00DD5B08" w:rsidP="007E3BB4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Güvenlik Tedbirlerinin </w:t>
            </w:r>
            <w:r w:rsidR="00723E0E">
              <w:rPr>
                <w:rFonts w:ascii="Arial" w:hAnsi="Arial" w:cs="Arial"/>
                <w:sz w:val="20"/>
                <w:szCs w:val="20"/>
              </w:rPr>
              <w:t>Hukuki Niteliği ve Tarihçesi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8E70E6F" w14:textId="1AD96CC1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321ACD6" w14:textId="17157836" w:rsidR="00044852" w:rsidRDefault="00CD4A2D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69EFE83D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5D72C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09D87F" w14:textId="7AD8E48B" w:rsidR="00044852" w:rsidRDefault="00723E0E" w:rsidP="007E3BB4">
            <w:p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Güvenlik Tedbirlerinin Uygulanma Koşulları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C3588E" w14:textId="47688151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28FFF3" w14:textId="29A43559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1090DF87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AD59A2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545DCA" w14:textId="1999C368" w:rsidR="00044852" w:rsidRDefault="00723E0E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Güvenlik Tedbirlerinde Mahkemenin Takdir Yetkisi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B9EE23A" w14:textId="59F9BF49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</w:t>
            </w:r>
            <w:r w:rsidR="007B7A4F"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59AEBA" w14:textId="18D76903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11094D0D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DBFC3C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685A7F" w14:textId="17B3C93A" w:rsidR="00044852" w:rsidRDefault="00723E0E" w:rsidP="007E3BB4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Güvenlik Tedbirlerine </w:t>
            </w:r>
            <w:r w:rsidR="00BD769A">
              <w:rPr>
                <w:rFonts w:ascii="Arial" w:hAnsi="Arial" w:cs="Arial"/>
                <w:sz w:val="20"/>
                <w:szCs w:val="20"/>
              </w:rPr>
              <w:t>Karşı Başvuru Yolları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6485AA" w14:textId="44346ECD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368A831" w14:textId="4E6DA649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044852" w14:paraId="076A2158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CDD98E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3FC410" w14:textId="0C2CBC84" w:rsidR="00044852" w:rsidRDefault="00BD769A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Güvenlik Tedbirlerinin Türleri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51741A" w14:textId="4BDAD205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DFDE90" w14:textId="64CB5E9B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044852" w14:paraId="012D40A6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8DD715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80F741" w14:textId="256AA019" w:rsidR="00044852" w:rsidRDefault="00BD769A" w:rsidP="007E3BB4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Belirli Hakları Kullanmaktan Yoks</w:t>
            </w:r>
            <w:r w:rsidR="00167D08">
              <w:rPr>
                <w:rFonts w:ascii="Arial" w:hAnsi="Arial" w:cs="Arial"/>
                <w:sz w:val="20"/>
                <w:szCs w:val="20"/>
              </w:rPr>
              <w:t>un Bırakılma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9A3C0D" w14:textId="198F6851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FE847C" w14:textId="30036D2B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4BD10E2F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015CB3D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22C013" w14:textId="17787561" w:rsidR="00044852" w:rsidRDefault="00167D08" w:rsidP="007E3BB4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Eşya Müsaderesi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32F60D6" w14:textId="6A7683CE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BA2B39B" w14:textId="04F3E3E2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4A9AC85F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1A08DA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D25CA0" w14:textId="2EE08A47" w:rsidR="00044852" w:rsidRDefault="00167D08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Kazanç Müsaderesi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384044" w14:textId="60FF250A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</w:t>
            </w:r>
            <w:r w:rsidR="007B7A4F"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0637E3" w14:textId="78AE14F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2AB5FDF5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F05B43D" w14:textId="0B63154D" w:rsidR="00044852" w:rsidRDefault="00167D08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E39C4D" w14:textId="124AE8D0" w:rsidR="00044852" w:rsidRDefault="0021162F" w:rsidP="00167D0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Akıl Hastalarına Özgü Güvenlik Tedbirleri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CEFF7FD" w14:textId="79E15FB3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D09595C" w14:textId="70E22E70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044852" w14:paraId="4909DBEC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DC6A2F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E2602B" w14:textId="2CE9B652" w:rsidR="00044852" w:rsidRDefault="0021162F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Suçta Tekerrür ve Özel Tehlikeli Suçlar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903C52" w14:textId="397F5A54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F66E271" w14:textId="026CAF07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044852" w14:paraId="0BF423F0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46C28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A18E0F" w14:textId="6C7FE38F" w:rsidR="00044852" w:rsidRDefault="0021162F" w:rsidP="007E3BB4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Sınırdışı Edilme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BD3A731" w14:textId="7E43DEEF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1C20987" w14:textId="5CEDE94F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044852" w14:paraId="195FEA71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1361E4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421758" w14:textId="2A2BCFB9" w:rsidR="00044852" w:rsidRDefault="0021162F" w:rsidP="0021162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Tüzel Kişiler Hakkında Güvenlik Tedbirleri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866FC0" w14:textId="7EE9C529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C79D7FD" w14:textId="23E2D80C" w:rsidR="00044852" w:rsidRDefault="00044852" w:rsidP="007E3BB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044852" w14:paraId="5D2CD350" w14:textId="77777777" w:rsidTr="007E3BB4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FB1A953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19DEDF" w14:textId="035FF3B7" w:rsidR="00044852" w:rsidRDefault="0021162F" w:rsidP="0021162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Güncel Uygulamalar, Sonuç ve Değerlendirme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F87F737" w14:textId="0994F780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23C988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  <w:p w14:paraId="0DF72400" w14:textId="77777777" w:rsidR="00044852" w:rsidRDefault="00044852" w:rsidP="007E3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044852" w14:paraId="52BD9863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BB3909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44852" w14:paraId="4057842B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E8BF105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9AA2B99" w14:textId="02ADF890" w:rsidR="00044852" w:rsidRDefault="00A966A1" w:rsidP="007E3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Dr. Timur DEMİRBAŞ </w:t>
            </w:r>
            <w:r w:rsidR="00B33DF9">
              <w:rPr>
                <w:rFonts w:ascii="Arial" w:hAnsi="Arial" w:cs="Arial"/>
                <w:b/>
                <w:sz w:val="20"/>
                <w:szCs w:val="20"/>
              </w:rPr>
              <w:t>Şematik Ceza Hukuku Genel Hükümler (2024/ 08)</w:t>
            </w:r>
          </w:p>
        </w:tc>
      </w:tr>
      <w:tr w:rsidR="00044852" w14:paraId="7BF00502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8763B90" w14:textId="77777777" w:rsidR="00044852" w:rsidRDefault="00044852" w:rsidP="007E3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7EA43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F52F0E4" w14:textId="082B08D5" w:rsidR="00044852" w:rsidRDefault="00B33DF9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-</w:t>
            </w:r>
          </w:p>
        </w:tc>
      </w:tr>
      <w:tr w:rsidR="00044852" w14:paraId="266359B9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1FD280B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F613D3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Öğretim Üyesi Ders Notları</w:t>
            </w:r>
          </w:p>
        </w:tc>
      </w:tr>
      <w:tr w:rsidR="00044852" w14:paraId="73402F26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75E067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79E6972" w14:textId="3876DE11" w:rsidR="00044852" w:rsidRPr="000709C1" w:rsidRDefault="00B33DF9" w:rsidP="0063458D">
            <w:pPr>
              <w:pStyle w:val="ListeParagra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044852" w14:paraId="03DAC18A" w14:textId="77777777" w:rsidTr="007E3BB4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5DC4DD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55EFBC" w14:textId="2E8179BB" w:rsidR="00044852" w:rsidRDefault="00B33DF9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</w:t>
            </w:r>
          </w:p>
        </w:tc>
      </w:tr>
      <w:tr w:rsidR="00044852" w14:paraId="24D88C92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A3F7C82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87BF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044852" w14:paraId="24EE278A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2958EC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93956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ED6745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3A2018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044852" w14:paraId="7F6F5531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6FA569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29838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A8092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1748DC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0D8AB84E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D243375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Küçük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0D6F6A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1C24FB1" w14:textId="306DBD83" w:rsidR="00044852" w:rsidRDefault="00253529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6783B60" w14:textId="64EB42C7" w:rsidR="00044852" w:rsidRDefault="00044852" w:rsidP="007E3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852" w14:paraId="6D5539B4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CD476E" w14:textId="77777777" w:rsidR="00044852" w:rsidRDefault="00044852" w:rsidP="007E3B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739F83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F3303D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D8E7617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7C6F9104" w14:textId="77777777" w:rsidTr="007E3BB4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939710" w14:textId="77777777" w:rsidR="00044852" w:rsidRDefault="00044852" w:rsidP="007E3B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173793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BBD87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06D4EAA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852" w14:paraId="3DE9FD2A" w14:textId="77777777" w:rsidTr="007E3BB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F1B4EAC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60A68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044852" w14:paraId="3803AFBF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A215BD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28D98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2F445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5DFEC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044852" w14:paraId="43BC5397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7A069C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5C4871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353F29D" w14:textId="4E0C3A77" w:rsidR="00044852" w:rsidRDefault="00283B58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8F54FE" w14:textId="7CCE8B41" w:rsidR="00044852" w:rsidRDefault="00283B58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044852" w14:paraId="0AF8AD0D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F8DFD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56FD59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422263" w14:textId="69524CB8" w:rsidR="00044852" w:rsidRDefault="003A520E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D2E0EC0" w14:textId="132B4AC8" w:rsidR="00044852" w:rsidRDefault="003A520E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044852" w14:paraId="32C6F6AD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138246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973E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600870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30735F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44852" w14:paraId="4E354FB4" w14:textId="77777777" w:rsidTr="007E3BB4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F22BA8" w14:textId="77777777" w:rsidR="00044852" w:rsidRDefault="00044852" w:rsidP="007E3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81999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EDC2E5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5A95E6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44852" w14:paraId="5618DA9B" w14:textId="77777777" w:rsidTr="007E3BB4">
        <w:trPr>
          <w:jc w:val="center"/>
        </w:trPr>
        <w:tc>
          <w:tcPr>
            <w:tcW w:w="9064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3F7A3D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14416BCD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2CD151D8" w14:textId="77777777" w:rsidR="00044852" w:rsidRDefault="00044852" w:rsidP="007E3B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53D920C" w14:textId="278E4B43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83B5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44852" w14:paraId="25594141" w14:textId="77777777" w:rsidTr="007E3BB4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2875D14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E0A89E6" w14:textId="3E11BD32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="003A520E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/30= </w:t>
            </w:r>
            <w:r w:rsidR="003A52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D4A2D">
              <w:rPr>
                <w:rFonts w:ascii="Arial" w:hAnsi="Arial" w:cs="Arial"/>
                <w:b/>
                <w:bCs/>
                <w:sz w:val="20"/>
                <w:szCs w:val="20"/>
              </w:rPr>
              <w:t>,2</w:t>
            </w:r>
          </w:p>
        </w:tc>
      </w:tr>
      <w:tr w:rsidR="00044852" w14:paraId="28723199" w14:textId="77777777" w:rsidTr="007E3BB4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C292876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2022C82" w14:textId="4FDFFF0D" w:rsidR="00044852" w:rsidRDefault="00CD4A2D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44852" w14:paraId="62991D25" w14:textId="77777777" w:rsidTr="007E3BB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FE5812B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044852" w14:paraId="5A05E749" w14:textId="77777777" w:rsidTr="00406D6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6FFFC12" w14:textId="77777777" w:rsidR="00044852" w:rsidRDefault="00044852" w:rsidP="007E3B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5FA08" w14:textId="775A4B16" w:rsidR="00044852" w:rsidRDefault="00406D6A" w:rsidP="00406D6A">
            <w:pPr>
              <w:tabs>
                <w:tab w:val="center" w:pos="5420"/>
                <w:tab w:val="left" w:pos="89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044852" w14:paraId="736E19A9" w14:textId="77777777" w:rsidTr="007E3BB4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6C851" w14:textId="77777777" w:rsidR="00044852" w:rsidRDefault="00044852" w:rsidP="007E3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F9B5F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8472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DE9B3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B3B2A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98A8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654E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257A5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94DF3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04A87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026B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1B9F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6D159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472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7AA5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D731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408E5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64277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79B8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3AF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2B1C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698E0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C30E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EFB1" w14:textId="77777777" w:rsidR="00044852" w:rsidRDefault="00044852" w:rsidP="007E3BB4">
            <w:pPr>
              <w:rPr>
                <w:sz w:val="20"/>
                <w:szCs w:val="20"/>
              </w:rPr>
            </w:pPr>
          </w:p>
        </w:tc>
      </w:tr>
    </w:tbl>
    <w:p w14:paraId="61DB69B8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973A577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49F961B" w14:textId="77777777" w:rsidR="00044852" w:rsidRDefault="00044852" w:rsidP="00044852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94E556A" w14:textId="77777777" w:rsidR="00044852" w:rsidRDefault="00044852" w:rsidP="00044852"/>
    <w:p w14:paraId="6D2F818C" w14:textId="77777777" w:rsidR="00044852" w:rsidRDefault="00044852" w:rsidP="00044852"/>
    <w:p w14:paraId="5845D67A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822"/>
    <w:multiLevelType w:val="hybridMultilevel"/>
    <w:tmpl w:val="9168DC50"/>
    <w:lvl w:ilvl="0" w:tplc="C6FE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52"/>
    <w:rsid w:val="00044852"/>
    <w:rsid w:val="00167D08"/>
    <w:rsid w:val="00175A13"/>
    <w:rsid w:val="0021162F"/>
    <w:rsid w:val="00253529"/>
    <w:rsid w:val="00283B58"/>
    <w:rsid w:val="002A4337"/>
    <w:rsid w:val="00352251"/>
    <w:rsid w:val="003A520E"/>
    <w:rsid w:val="003C776B"/>
    <w:rsid w:val="00406D6A"/>
    <w:rsid w:val="004E5E1F"/>
    <w:rsid w:val="0063458D"/>
    <w:rsid w:val="00635586"/>
    <w:rsid w:val="006A0A8E"/>
    <w:rsid w:val="007201D7"/>
    <w:rsid w:val="00723E0E"/>
    <w:rsid w:val="00796B6F"/>
    <w:rsid w:val="007B7A4F"/>
    <w:rsid w:val="0080694D"/>
    <w:rsid w:val="008371A7"/>
    <w:rsid w:val="009D0A8E"/>
    <w:rsid w:val="009E3411"/>
    <w:rsid w:val="00A13DF5"/>
    <w:rsid w:val="00A340B9"/>
    <w:rsid w:val="00A36846"/>
    <w:rsid w:val="00A966A1"/>
    <w:rsid w:val="00AA5483"/>
    <w:rsid w:val="00B33DF9"/>
    <w:rsid w:val="00BD769A"/>
    <w:rsid w:val="00BE1F32"/>
    <w:rsid w:val="00C32862"/>
    <w:rsid w:val="00C43284"/>
    <w:rsid w:val="00CD4A2D"/>
    <w:rsid w:val="00D308F0"/>
    <w:rsid w:val="00DD5B08"/>
    <w:rsid w:val="00E35DFE"/>
    <w:rsid w:val="00E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6D53"/>
  <w15:chartTrackingRefBased/>
  <w15:docId w15:val="{1D4CBEFC-C696-438F-BF9F-1ADF759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52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8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8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8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8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8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8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4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4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4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48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48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48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8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48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unhideWhenUsed/>
    <w:rsid w:val="0004485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04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Damla Bayındır</cp:lastModifiedBy>
  <cp:revision>26</cp:revision>
  <dcterms:created xsi:type="dcterms:W3CDTF">2025-03-02T08:58:00Z</dcterms:created>
  <dcterms:modified xsi:type="dcterms:W3CDTF">2025-03-04T06:11:00Z</dcterms:modified>
</cp:coreProperties>
</file>