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9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65"/>
        <w:gridCol w:w="857"/>
        <w:gridCol w:w="331"/>
        <w:gridCol w:w="560"/>
        <w:gridCol w:w="236"/>
        <w:gridCol w:w="236"/>
        <w:gridCol w:w="468"/>
        <w:gridCol w:w="236"/>
        <w:gridCol w:w="317"/>
        <w:gridCol w:w="758"/>
        <w:gridCol w:w="236"/>
        <w:gridCol w:w="385"/>
        <w:gridCol w:w="236"/>
        <w:gridCol w:w="318"/>
        <w:gridCol w:w="318"/>
        <w:gridCol w:w="236"/>
        <w:gridCol w:w="568"/>
        <w:gridCol w:w="236"/>
        <w:gridCol w:w="636"/>
        <w:gridCol w:w="94"/>
        <w:gridCol w:w="159"/>
        <w:gridCol w:w="299"/>
        <w:gridCol w:w="600"/>
        <w:gridCol w:w="285"/>
        <w:gridCol w:w="811"/>
        <w:gridCol w:w="833"/>
        <w:gridCol w:w="297"/>
        <w:gridCol w:w="261"/>
        <w:gridCol w:w="72"/>
        <w:gridCol w:w="13"/>
      </w:tblGrid>
      <w:tr w:rsidR="00890C20" w:rsidRPr="00890C20" w:rsidTr="001D49AD">
        <w:trPr>
          <w:gridAfter w:val="2"/>
          <w:wAfter w:w="85" w:type="dxa"/>
          <w:trHeight w:val="638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890C20" w:rsidRPr="00890C20" w:rsidRDefault="00890C20" w:rsidP="00890C2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ÇAĞ UNIVERSITESİ</w:t>
            </w:r>
          </w:p>
          <w:p w:rsidR="00890C20" w:rsidRPr="00890C20" w:rsidRDefault="00890C20" w:rsidP="00890C2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İKTİSADİ VE İDARİ BİLİMLER FAKÜLTESİ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Kodu</w:t>
            </w:r>
            <w:proofErr w:type="spellEnd"/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Adı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FLG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403</w:t>
            </w:r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I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 (3-0-0)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Önkoşul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Dersler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FLG 303-</w:t>
            </w: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FLG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304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Dili</w:t>
            </w:r>
            <w:proofErr w:type="spellEnd"/>
          </w:p>
        </w:tc>
        <w:tc>
          <w:tcPr>
            <w:tcW w:w="161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Almanca</w:t>
            </w:r>
            <w:proofErr w:type="spellEnd"/>
          </w:p>
        </w:tc>
        <w:tc>
          <w:tcPr>
            <w:tcW w:w="23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İşleme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Tarzı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39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Yüze</w:t>
            </w:r>
            <w:proofErr w:type="spellEnd"/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Türü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Düzeyi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zorunlu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seçmeli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ikinci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1.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Güz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Dönemi</w:t>
            </w:r>
            <w:proofErr w:type="spellEnd"/>
          </w:p>
        </w:tc>
      </w:tr>
      <w:tr w:rsidR="00890C20" w:rsidRPr="00890C20" w:rsidTr="001D49AD">
        <w:trPr>
          <w:gridAfter w:val="2"/>
          <w:wAfter w:w="85" w:type="dxa"/>
          <w:trHeight w:val="310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Üyeleri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Unvanı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&amp; Adı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Soyadı</w:t>
            </w:r>
            <w:proofErr w:type="spellEnd"/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Saati</w:t>
            </w:r>
            <w:proofErr w:type="spellEnd"/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Görüşme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Saatleri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İletişim</w:t>
            </w:r>
            <w:proofErr w:type="spellEnd"/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Koordinatörü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Öğr.Gör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. Selda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Sekendur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Salı 13.25-15.45</w:t>
            </w:r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Ptsi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12.30-13.00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seldasekendur@cag.edu.tr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Amacı</w:t>
            </w:r>
            <w:proofErr w:type="spellEnd"/>
          </w:p>
        </w:tc>
        <w:tc>
          <w:tcPr>
            <w:tcW w:w="8587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Yazılı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sözlü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Almanca’nın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geliştirilmiş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giriş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aşamasıdır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Avrupa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Portfolio’suna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göre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A1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kullanmak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amaçtır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972" w:type="dxa"/>
            <w:gridSpan w:val="18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başarıyla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tamamlayan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öğrenci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;</w:t>
            </w:r>
          </w:p>
        </w:tc>
        <w:tc>
          <w:tcPr>
            <w:tcW w:w="308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İlişkiler</w:t>
            </w:r>
            <w:proofErr w:type="spellEnd"/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972" w:type="dxa"/>
            <w:gridSpan w:val="18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Prog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Net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Herhangi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yavaş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konuştuğunda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tanıdık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Günlük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ifade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sözcük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tanımların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detaylarla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soruların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talimatları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İçeriği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: 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dört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beceresinin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yanı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sıra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dilbilgisi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konularıyla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alıştırmaları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içerir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Uygulama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öğreniminde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olduğu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konularının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tekrarlanması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araştırmaların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yapılması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tavsiye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edilir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890C20" w:rsidRPr="001D49AD" w:rsidTr="001D49AD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1D49AD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İçerikleri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:(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Haftalık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Planı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890C20" w:rsidRPr="00890C20" w:rsidTr="001D49AD">
        <w:trPr>
          <w:gridAfter w:val="2"/>
          <w:wAfter w:w="85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</w:t>
            </w:r>
            <w:r w:rsid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</w:t>
            </w:r>
            <w:proofErr w:type="spellEnd"/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Hazırlık</w:t>
            </w:r>
            <w:proofErr w:type="spellEnd"/>
          </w:p>
        </w:tc>
        <w:tc>
          <w:tcPr>
            <w:tcW w:w="354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Aktiviteleri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Metotları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890C20" w:rsidRPr="00890C20" w:rsidTr="001D49AD">
        <w:trPr>
          <w:gridAfter w:val="1"/>
          <w:wAfter w:w="13" w:type="dxa"/>
          <w:trHeight w:val="723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6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Zeit mit Freunden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Datumsangaben; am…..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rol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videolar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Youtube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Präteritum von haben und sein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&amp;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Quiz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8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Meine Wohnung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lastRenderedPageBreak/>
              <w:t>9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planen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Adjektive mit sein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1062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ausdrücken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,</w:t>
            </w:r>
          </w:p>
        </w:tc>
      </w:tr>
      <w:tr w:rsidR="00890C20" w:rsidRPr="00890C20" w:rsidTr="001D49AD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Farben/Wohnformen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2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540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890C20" w:rsidRPr="00890C20" w:rsidTr="001D49AD">
        <w:trPr>
          <w:gridAfter w:val="1"/>
          <w:wAfter w:w="13" w:type="dxa"/>
          <w:trHeight w:val="261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&amp;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çalışması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279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</w:p>
        </w:tc>
      </w:tr>
      <w:tr w:rsidR="00890C20" w:rsidRPr="00890C20" w:rsidTr="001D49AD">
        <w:trPr>
          <w:gridAfter w:val="1"/>
          <w:wAfter w:w="13" w:type="dxa"/>
          <w:trHeight w:val="540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Kitabı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          </w:t>
            </w:r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Netzwerk A1  (Langenscheidt)  </w:t>
            </w: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ab/>
              <w:t>Lehrbuch (LB) ISBN 978-3-468-46800-1+  Arbeitsbuch (AB) ISBN 978-3-468-46801-8</w:t>
            </w:r>
          </w:p>
        </w:tc>
      </w:tr>
      <w:tr w:rsidR="00890C20" w:rsidRPr="00890C20" w:rsidTr="001D49AD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WEB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Adresleri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1D49AD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hyperlink r:id="rId7" w:history="1">
              <w:r w:rsidR="00890C20" w:rsidRPr="00890C20">
                <w:rPr>
                  <w:rFonts w:ascii="Arial" w:hAnsi="Arial" w:cs="Arial"/>
                  <w:b/>
                  <w:bCs/>
                  <w:color w:val="1573A6"/>
                  <w:sz w:val="20"/>
                  <w:szCs w:val="20"/>
                  <w:lang w:val="de-DE" w:eastAsia="de-DE"/>
                </w:rPr>
                <w:t>www.klett-langenscheidt.de/produkt/5990_10482/Netzwerk_A1</w:t>
              </w:r>
            </w:hyperlink>
            <w:r w:rsidR="00890C20"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</w:p>
        </w:tc>
      </w:tr>
      <w:tr w:rsidR="00890C20" w:rsidRPr="00890C20" w:rsidTr="001D49AD">
        <w:trPr>
          <w:gridAfter w:val="1"/>
          <w:wAfter w:w="13" w:type="dxa"/>
          <w:trHeight w:val="261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 w:eastAsia="de-DE"/>
              </w:rPr>
            </w:pPr>
          </w:p>
        </w:tc>
      </w:tr>
      <w:tr w:rsidR="00890C20" w:rsidRPr="00890C20" w:rsidTr="001D49AD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Önerilen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gazeteler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dergiler</w:t>
            </w:r>
            <w:proofErr w:type="spellEnd"/>
          </w:p>
        </w:tc>
      </w:tr>
      <w:tr w:rsidR="00890C20" w:rsidRPr="00890C20" w:rsidTr="001D49AD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Materyal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Paylaşımı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Her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Ünite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kağıdı</w:t>
            </w:r>
            <w:proofErr w:type="spellEnd"/>
          </w:p>
        </w:tc>
      </w:tr>
      <w:tr w:rsidR="00890C20" w:rsidRPr="00890C20" w:rsidTr="001D49AD">
        <w:trPr>
          <w:gridAfter w:val="3"/>
          <w:wAfter w:w="346" w:type="dxa"/>
          <w:trHeight w:val="540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ÖLÇME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DEĞERLENDİRME</w:t>
            </w:r>
          </w:p>
        </w:tc>
      </w:tr>
      <w:tr w:rsidR="00890C20" w:rsidRPr="00890C20" w:rsidTr="001D49AD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Etkinlikler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İçinin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890C20" w:rsidRPr="00890C20" w:rsidTr="001D49AD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Finalin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60%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890C20" w:rsidRPr="00890C20" w:rsidTr="001D49AD">
        <w:trPr>
          <w:gridAfter w:val="3"/>
          <w:wAfter w:w="346" w:type="dxa"/>
          <w:trHeight w:val="81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 TABLOSU</w:t>
            </w:r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Süresi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890C20" w:rsidRPr="00890C20" w:rsidTr="001D49AD">
        <w:trPr>
          <w:gridAfter w:val="3"/>
          <w:wAfter w:w="346" w:type="dxa"/>
          <w:trHeight w:val="261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Sınıf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Dışı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890C20" w:rsidRPr="00890C20" w:rsidTr="001D49AD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Final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Sınavı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890C20" w:rsidRPr="00890C20" w:rsidTr="001D49AD">
        <w:trPr>
          <w:gridAfter w:val="3"/>
          <w:wAfter w:w="346" w:type="dxa"/>
          <w:trHeight w:val="261"/>
        </w:trPr>
        <w:tc>
          <w:tcPr>
            <w:tcW w:w="9422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30</w:t>
            </w:r>
          </w:p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AKTS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100</w:t>
            </w:r>
          </w:p>
        </w:tc>
      </w:tr>
      <w:tr w:rsidR="00890C20" w:rsidRPr="00890C20" w:rsidTr="001D49AD">
        <w:trPr>
          <w:gridAfter w:val="3"/>
          <w:wAfter w:w="346" w:type="dxa"/>
          <w:trHeight w:val="167"/>
        </w:trPr>
        <w:tc>
          <w:tcPr>
            <w:tcW w:w="942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100/30=3,3</w:t>
            </w:r>
          </w:p>
        </w:tc>
      </w:tr>
      <w:tr w:rsidR="00890C20" w:rsidRPr="00890C20" w:rsidTr="001D49AD">
        <w:trPr>
          <w:gridAfter w:val="3"/>
          <w:wAfter w:w="346" w:type="dxa"/>
          <w:trHeight w:val="167"/>
        </w:trPr>
        <w:tc>
          <w:tcPr>
            <w:tcW w:w="942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</w:tr>
      <w:tr w:rsidR="00890C20" w:rsidRPr="00890C20" w:rsidTr="001D49AD">
        <w:trPr>
          <w:gridAfter w:val="1"/>
          <w:wAfter w:w="13" w:type="dxa"/>
          <w:trHeight w:val="261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90C20" w:rsidRPr="00890C20" w:rsidRDefault="00890C20" w:rsidP="00890C20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GEÇMİŞ DÖNEM BAŞARILARI</w:t>
            </w:r>
          </w:p>
        </w:tc>
      </w:tr>
      <w:tr w:rsidR="00890C20" w:rsidRPr="00890C20" w:rsidTr="001D49AD">
        <w:trPr>
          <w:gridAfter w:val="1"/>
          <w:wAfter w:w="13" w:type="dxa"/>
          <w:trHeight w:val="3952"/>
        </w:trPr>
        <w:tc>
          <w:tcPr>
            <w:tcW w:w="11696" w:type="dxa"/>
            <w:gridSpan w:val="3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3"/>
              <w:gridCol w:w="5099"/>
            </w:tblGrid>
            <w:tr w:rsidR="00890C20" w:rsidRPr="00890C20" w:rsidTr="001D49AD">
              <w:trPr>
                <w:trHeight w:val="470"/>
              </w:trPr>
              <w:tc>
                <w:tcPr>
                  <w:tcW w:w="5053" w:type="dxa"/>
                  <w:noWrap/>
                  <w:vAlign w:val="bottom"/>
                  <w:hideMark/>
                </w:tcPr>
                <w:p w:rsidR="00890C20" w:rsidRPr="00890C20" w:rsidRDefault="00890C20" w:rsidP="00890C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890C20">
                    <w:rPr>
                      <w:b/>
                      <w:noProof/>
                    </w:rPr>
                    <w:drawing>
                      <wp:inline distT="0" distB="0" distL="0" distR="0" wp14:anchorId="61FF5017" wp14:editId="1AB06484">
                        <wp:extent cx="3019425" cy="2171700"/>
                        <wp:effectExtent l="0" t="0" r="9525" b="19050"/>
                        <wp:docPr id="97" name="Grafik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9" w:type="dxa"/>
                  <w:noWrap/>
                  <w:vAlign w:val="bottom"/>
                  <w:hideMark/>
                </w:tcPr>
                <w:p w:rsidR="00890C20" w:rsidRPr="00890C20" w:rsidRDefault="00890C20" w:rsidP="00890C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890C20">
                    <w:rPr>
                      <w:b/>
                      <w:noProof/>
                    </w:rPr>
                    <w:drawing>
                      <wp:inline distT="0" distB="0" distL="0" distR="0" wp14:anchorId="7C0CCD7A" wp14:editId="1233C400">
                        <wp:extent cx="3019425" cy="2105025"/>
                        <wp:effectExtent l="0" t="0" r="9525" b="9525"/>
                        <wp:docPr id="98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</w:tr>
      <w:tr w:rsidR="001D49AD" w:rsidRPr="00890C20" w:rsidTr="001D49AD">
        <w:trPr>
          <w:trHeight w:val="1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C20" w:rsidRPr="00890C20" w:rsidRDefault="00890C20" w:rsidP="00890C20">
            <w:pPr>
              <w:rPr>
                <w:sz w:val="20"/>
                <w:szCs w:val="20"/>
                <w:lang w:val="de-DE" w:eastAsia="de-DE"/>
              </w:rPr>
            </w:pPr>
          </w:p>
        </w:tc>
      </w:tr>
    </w:tbl>
    <w:p w:rsidR="00E67127" w:rsidRPr="00890C20" w:rsidRDefault="00E67127" w:rsidP="00890C20">
      <w:bookmarkStart w:id="0" w:name="_GoBack"/>
      <w:bookmarkEnd w:id="0"/>
    </w:p>
    <w:sectPr w:rsidR="00E67127" w:rsidRPr="00890C20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91BB6"/>
    <w:rsid w:val="000A38AC"/>
    <w:rsid w:val="000A5FAE"/>
    <w:rsid w:val="000B30B0"/>
    <w:rsid w:val="000C40AB"/>
    <w:rsid w:val="000E69C6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B1730"/>
    <w:rsid w:val="001B346F"/>
    <w:rsid w:val="001D2B91"/>
    <w:rsid w:val="001D49AD"/>
    <w:rsid w:val="001F65E5"/>
    <w:rsid w:val="00202C2E"/>
    <w:rsid w:val="002041C1"/>
    <w:rsid w:val="002061A4"/>
    <w:rsid w:val="00217C37"/>
    <w:rsid w:val="00224050"/>
    <w:rsid w:val="0025062A"/>
    <w:rsid w:val="002517E6"/>
    <w:rsid w:val="002745D6"/>
    <w:rsid w:val="00286A2E"/>
    <w:rsid w:val="002A1BB3"/>
    <w:rsid w:val="002F7881"/>
    <w:rsid w:val="003161B0"/>
    <w:rsid w:val="00316924"/>
    <w:rsid w:val="00343861"/>
    <w:rsid w:val="0034406B"/>
    <w:rsid w:val="003564BF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7432A"/>
    <w:rsid w:val="004747B9"/>
    <w:rsid w:val="0047730C"/>
    <w:rsid w:val="004D549F"/>
    <w:rsid w:val="004E4B45"/>
    <w:rsid w:val="004E4D88"/>
    <w:rsid w:val="005004E3"/>
    <w:rsid w:val="00524736"/>
    <w:rsid w:val="00533E3E"/>
    <w:rsid w:val="00533FC2"/>
    <w:rsid w:val="00536CC4"/>
    <w:rsid w:val="0054316F"/>
    <w:rsid w:val="00544097"/>
    <w:rsid w:val="00562F19"/>
    <w:rsid w:val="00591CC5"/>
    <w:rsid w:val="006010A2"/>
    <w:rsid w:val="0061450B"/>
    <w:rsid w:val="00623C98"/>
    <w:rsid w:val="00640798"/>
    <w:rsid w:val="006414CA"/>
    <w:rsid w:val="006731BD"/>
    <w:rsid w:val="00680002"/>
    <w:rsid w:val="0068130F"/>
    <w:rsid w:val="006908F7"/>
    <w:rsid w:val="006B4AA4"/>
    <w:rsid w:val="006E3E85"/>
    <w:rsid w:val="00706A57"/>
    <w:rsid w:val="00732B73"/>
    <w:rsid w:val="007358E5"/>
    <w:rsid w:val="007621E8"/>
    <w:rsid w:val="00762FA1"/>
    <w:rsid w:val="00776C3E"/>
    <w:rsid w:val="00793027"/>
    <w:rsid w:val="00797CE9"/>
    <w:rsid w:val="007A777E"/>
    <w:rsid w:val="007B43FA"/>
    <w:rsid w:val="007C64A7"/>
    <w:rsid w:val="007D5ACD"/>
    <w:rsid w:val="007E162C"/>
    <w:rsid w:val="00821E6E"/>
    <w:rsid w:val="00846110"/>
    <w:rsid w:val="0086649A"/>
    <w:rsid w:val="008703EE"/>
    <w:rsid w:val="00874C2E"/>
    <w:rsid w:val="00890C20"/>
    <w:rsid w:val="00896B2B"/>
    <w:rsid w:val="008A015D"/>
    <w:rsid w:val="008A1D9B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323AB"/>
    <w:rsid w:val="00B43295"/>
    <w:rsid w:val="00BB6CCA"/>
    <w:rsid w:val="00BB7311"/>
    <w:rsid w:val="00BC7F10"/>
    <w:rsid w:val="00BD1FEB"/>
    <w:rsid w:val="00BE37AE"/>
    <w:rsid w:val="00BF5C2B"/>
    <w:rsid w:val="00C122DD"/>
    <w:rsid w:val="00C1384A"/>
    <w:rsid w:val="00C46837"/>
    <w:rsid w:val="00C76097"/>
    <w:rsid w:val="00C83EBF"/>
    <w:rsid w:val="00CA2A4B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556B"/>
    <w:rsid w:val="00D355A7"/>
    <w:rsid w:val="00D53B87"/>
    <w:rsid w:val="00D57FE5"/>
    <w:rsid w:val="00D607B3"/>
    <w:rsid w:val="00D70099"/>
    <w:rsid w:val="00D700E3"/>
    <w:rsid w:val="00D977B6"/>
    <w:rsid w:val="00DB6A56"/>
    <w:rsid w:val="00DB6FB1"/>
    <w:rsid w:val="00DD46DD"/>
    <w:rsid w:val="00DD6C34"/>
    <w:rsid w:val="00DF2E4D"/>
    <w:rsid w:val="00E14F1A"/>
    <w:rsid w:val="00E23A83"/>
    <w:rsid w:val="00E450C3"/>
    <w:rsid w:val="00E52157"/>
    <w:rsid w:val="00E53F65"/>
    <w:rsid w:val="00E565D1"/>
    <w:rsid w:val="00E67127"/>
    <w:rsid w:val="00E75622"/>
    <w:rsid w:val="00E90470"/>
    <w:rsid w:val="00E91092"/>
    <w:rsid w:val="00E94363"/>
    <w:rsid w:val="00EA0024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921AA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54409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54409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klett-langenscheidt.de/produkt/5990_10482/Netzwerk_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997248"/>
        <c:axId val="176618816"/>
      </c:barChart>
      <c:catAx>
        <c:axId val="22699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618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61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69972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630080"/>
        <c:axId val="226278720"/>
      </c:barChart>
      <c:catAx>
        <c:axId val="227630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6278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627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76300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0E54-AE47-4449-93CB-671F188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4624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22</cp:revision>
  <dcterms:created xsi:type="dcterms:W3CDTF">2019-10-10T16:56:00Z</dcterms:created>
  <dcterms:modified xsi:type="dcterms:W3CDTF">2024-09-23T12:11:00Z</dcterms:modified>
</cp:coreProperties>
</file>