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23749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23749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23749A" w:rsidRDefault="00794037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23749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FF0BC3" w:rsidRPr="0023749A" w:rsidRDefault="00D031A2" w:rsidP="00106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 2</w:t>
            </w:r>
            <w:r w:rsidR="003C28C0" w:rsidRPr="0023749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3C28C0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Muhasebe Prensipleri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C867D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23749A" w:rsidRDefault="00A47870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="00D031A2">
              <w:rPr>
                <w:rFonts w:ascii="Arial" w:hAnsi="Arial" w:cs="Arial"/>
                <w:sz w:val="20"/>
                <w:szCs w:val="20"/>
              </w:rPr>
              <w:t>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A47870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 / 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>.Yıl / Güz Dönemi</w:t>
            </w:r>
            <w:r w:rsidR="00EC6FA2">
              <w:rPr>
                <w:rFonts w:ascii="Arial" w:hAnsi="Arial" w:cs="Arial"/>
                <w:sz w:val="20"/>
                <w:szCs w:val="20"/>
              </w:rPr>
              <w:t xml:space="preserve">-Düzey </w:t>
            </w:r>
            <w:r w:rsidR="00EC22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:rsidRPr="0023749A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Dr. Canol Kandemir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Çarşamba 9-12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Perşembe 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B2BDF" w:rsidRPr="0023749A" w:rsidRDefault="00006B34" w:rsidP="0000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ckandemir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@</w:t>
            </w:r>
            <w:r w:rsidRPr="0023749A">
              <w:rPr>
                <w:rFonts w:ascii="Arial" w:hAnsi="Arial" w:cs="Arial"/>
                <w:sz w:val="20"/>
                <w:szCs w:val="20"/>
              </w:rPr>
              <w:t>cag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.</w:t>
            </w:r>
            <w:r w:rsidRPr="0023749A">
              <w:rPr>
                <w:rFonts w:ascii="Arial" w:hAnsi="Arial" w:cs="Arial"/>
                <w:sz w:val="20"/>
                <w:szCs w:val="20"/>
              </w:rPr>
              <w:t>edu.tr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4B2BDF" w:rsidRPr="0023749A" w:rsidRDefault="004B2BDF" w:rsidP="002977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Bu ders, öğrencilere önemli ticari ve mali işlemlerin muhasebe süreci içinde kaydedilmesini, sınıflandırılmasını ve  özetlenmesini öğretmeyi amaçlamaktadır. 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Muhasebenin tarihi temellerini önemini ve kullanım alanlarını ifade edebilir.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Defter-i kebir hesabını, çift kayıt sistemini tanımlayabilir, işlemleri yevmiye defterine kaydedebilir, defter-i kebire aktarabilir.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Mizan çıkarabilir ve dönem sonu muhasebe işlemlerinden sonra gelir tablosu ve bilanço çıkarabilir.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Yasal defterler üzerinde aktif ve pasif hesaplarına kayıt kurallarını uygulayabilir.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Önemli dönen ve duran varlıklar hakkında yorum yapabilir.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Önemli yabancı kaynaklar ve öz kaynaklar hakkında yorum yapabilir.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Önemli gelir ve gider hesapları hakkında yorum yapabilir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Mali tabloları analiz ederek faaliyet sonuçları ve mali durum hakkında değerlendirme yapabilir.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23749A" w:rsidRDefault="00FF0BC3" w:rsidP="00297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>Bu ders, şirketlerin mali tabloları nasıl hazırladıklarına odaklanmaktadır. Muhasebe</w:t>
            </w:r>
            <w:r w:rsidR="00297783">
              <w:rPr>
                <w:rFonts w:ascii="Arial" w:hAnsi="Arial" w:cs="Arial"/>
                <w:sz w:val="20"/>
                <w:szCs w:val="20"/>
              </w:rPr>
              <w:t>cilerin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 yaptıkları şekilde, öğrencilerin de mali tabloları elde etmek için gereken muhasebe kural ve ilkelerini uygulamaları sağlanmaktadır. Öğrenciler mali tabloları hazırlandıktan sonra genel </w:t>
            </w:r>
            <w:r w:rsidR="00297783">
              <w:rPr>
                <w:rFonts w:ascii="Arial" w:hAnsi="Arial" w:cs="Arial"/>
                <w:sz w:val="20"/>
                <w:szCs w:val="20"/>
              </w:rPr>
              <w:t>bir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 değerlendirme yapmaya yönlendirilmektedir.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F0BC3" w:rsidRPr="0023749A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Ticari Faaliyetler ve Muhasebenin Önemi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Kitabı-1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Pr="0023749A" w:rsidRDefault="00853B51" w:rsidP="00A41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Teori ve </w:t>
            </w:r>
            <w:r w:rsidRPr="0023749A">
              <w:rPr>
                <w:rFonts w:ascii="Arial" w:hAnsi="Arial" w:cs="Arial"/>
                <w:sz w:val="20"/>
                <w:szCs w:val="20"/>
              </w:rPr>
              <w:t>Uygulamalar</w:t>
            </w:r>
          </w:p>
        </w:tc>
      </w:tr>
      <w:tr w:rsidR="006026D7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6026D7" w:rsidRPr="0023749A" w:rsidRDefault="006026D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026D7" w:rsidRPr="0023749A" w:rsidRDefault="00853B5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Muhasebe Süreci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6026D7" w:rsidRPr="0023749A" w:rsidRDefault="006026D7" w:rsidP="00A4142F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Kitabı-2.Bölüm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6026D7" w:rsidRPr="0023749A" w:rsidRDefault="00853B51" w:rsidP="00853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Teori ve </w:t>
            </w:r>
            <w:r w:rsidR="006026D7" w:rsidRPr="0023749A">
              <w:rPr>
                <w:rFonts w:ascii="Arial" w:hAnsi="Arial" w:cs="Arial"/>
                <w:sz w:val="20"/>
                <w:szCs w:val="20"/>
              </w:rPr>
              <w:t>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Muhasebe Süreci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Kitabı-2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 Tablolar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Kitabı-6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 Tablolar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Kitabı-6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Dönen Varlıklar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Kitabı-7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Dönen Varlıklar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Kitabı-7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Dönen Varlıklar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Kitabı-7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Ticari İşlemler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Kitabı-4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Ticari İşlemler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Kitabı-4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Ticari İşlemler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Kitabı-4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Kitabı-5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Stoklar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Kitabı-5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E044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E0441" w:rsidRPr="0023749A" w:rsidRDefault="008E044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0441" w:rsidRPr="0023749A" w:rsidRDefault="008E044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 Varlıklar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E0441" w:rsidRPr="0023749A" w:rsidRDefault="008E044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Kitabı-10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E0441" w:rsidRDefault="008E044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4B5D19" w:rsidRDefault="002F119D" w:rsidP="002F119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Sayarı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Mehmet,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Financial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Accounting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based on the Uniform Accounting System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Gazi Kitabevi, Eylül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2003, ISBN:975-731-3270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12E50" w:rsidRDefault="00BE57C1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881E3D" w:rsidRPr="00412E50">
                <w:rPr>
                  <w:rStyle w:val="Hyperlink"/>
                  <w:rFonts w:ascii="Arial" w:hAnsi="Arial" w:cs="Arial"/>
                  <w:b/>
                  <w:color w:val="1F497D"/>
                  <w:sz w:val="20"/>
                  <w:szCs w:val="20"/>
                </w:rPr>
                <w:t>www.tmsk.org.tr</w:t>
              </w:r>
            </w:hyperlink>
            <w:r w:rsidR="00881E3D" w:rsidRPr="00412E50">
              <w:rPr>
                <w:rFonts w:ascii="Arial" w:hAnsi="Arial" w:cs="Arial"/>
                <w:b/>
                <w:color w:val="1F497D"/>
                <w:sz w:val="20"/>
                <w:szCs w:val="20"/>
              </w:rPr>
              <w:t>,</w:t>
            </w:r>
            <w:hyperlink r:id="rId7" w:history="1">
              <w:r w:rsidR="00881E3D" w:rsidRPr="00412E50">
                <w:rPr>
                  <w:rStyle w:val="Hyperlink"/>
                  <w:rFonts w:ascii="Arial" w:hAnsi="Arial" w:cs="Arial"/>
                  <w:b/>
                  <w:color w:val="1F497D"/>
                  <w:sz w:val="20"/>
                  <w:szCs w:val="20"/>
                </w:rPr>
                <w:t>www.turmob.org.tr</w:t>
              </w:r>
            </w:hyperlink>
            <w:r w:rsidR="00881E3D" w:rsidRPr="00412E50">
              <w:rPr>
                <w:rFonts w:ascii="Arial" w:hAnsi="Arial" w:cs="Arial"/>
                <w:b/>
                <w:color w:val="1F497D"/>
                <w:sz w:val="20"/>
                <w:szCs w:val="20"/>
              </w:rPr>
              <w:t>,</w:t>
            </w:r>
            <w:hyperlink r:id="rId8" w:history="1">
              <w:r w:rsidR="00881E3D" w:rsidRPr="00412E50">
                <w:rPr>
                  <w:rStyle w:val="Hyperlink"/>
                  <w:rFonts w:ascii="Arial" w:hAnsi="Arial" w:cs="Arial"/>
                  <w:b/>
                  <w:color w:val="1F497D"/>
                  <w:sz w:val="20"/>
                  <w:szCs w:val="20"/>
                </w:rPr>
                <w:t>www.tmud.org.tr</w:t>
              </w:r>
            </w:hyperlink>
            <w:r w:rsidR="00881E3D" w:rsidRPr="00412E50">
              <w:rPr>
                <w:rFonts w:ascii="Arial" w:hAnsi="Arial" w:cs="Arial"/>
                <w:b/>
                <w:color w:val="1F497D"/>
                <w:sz w:val="20"/>
                <w:szCs w:val="20"/>
              </w:rPr>
              <w:t>,www.ismmmo.org.tr, www.mersinsmmmo.org.tr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E65C2" w:rsidRDefault="002F119D" w:rsidP="00CB61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Ergül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Nuray,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 xml:space="preserve"> Finansal </w:t>
            </w:r>
            <w:r>
              <w:rPr>
                <w:rFonts w:ascii="Arial" w:hAnsi="Arial" w:cs="Arial"/>
                <w:b/>
                <w:sz w:val="20"/>
                <w:szCs w:val="20"/>
              </w:rPr>
              <w:t>Accounting for Non-Profesional Users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Beta Yayınevi,</w:t>
            </w:r>
            <w:r w:rsidR="00745F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612B">
              <w:rPr>
                <w:rFonts w:ascii="Arial" w:hAnsi="Arial" w:cs="Arial"/>
                <w:b/>
                <w:sz w:val="20"/>
                <w:szCs w:val="20"/>
              </w:rPr>
              <w:t>Ekim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2007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>, ISBN:975-</w:t>
            </w: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7072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BF260D" w:rsidRDefault="00881E3D" w:rsidP="008E0441">
            <w:pPr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Gerektiğinde öğrenci otomasyon sisteminden erişilebilecektir.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7C208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7C2084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96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7C208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7C20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7C2084">
              <w:rPr>
                <w:rFonts w:ascii="Arial" w:hAnsi="Arial" w:cs="Arial"/>
                <w:sz w:val="20"/>
                <w:szCs w:val="20"/>
              </w:rPr>
              <w:t>188</w:t>
            </w:r>
            <w:r w:rsidRPr="0023749A">
              <w:rPr>
                <w:rFonts w:ascii="Arial" w:hAnsi="Arial" w:cs="Arial"/>
                <w:sz w:val="20"/>
                <w:szCs w:val="20"/>
              </w:rPr>
              <w:t>/30=</w:t>
            </w:r>
            <w:r w:rsidR="00E61E2D">
              <w:rPr>
                <w:rFonts w:ascii="Arial" w:hAnsi="Arial" w:cs="Arial"/>
                <w:sz w:val="20"/>
                <w:szCs w:val="20"/>
              </w:rPr>
              <w:t>6</w:t>
            </w:r>
            <w:r w:rsidRPr="0023749A">
              <w:rPr>
                <w:rFonts w:ascii="Arial" w:hAnsi="Arial" w:cs="Arial"/>
                <w:sz w:val="20"/>
                <w:szCs w:val="20"/>
              </w:rPr>
              <w:t>,</w:t>
            </w:r>
            <w:r w:rsidR="007C208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7C208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23A83" w:rsidRPr="0023749A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23749A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23749A" w:rsidRDefault="0091443E" w:rsidP="00F05CF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 wp14:anchorId="49467996" wp14:editId="0992F044">
            <wp:extent cx="2762250" cy="2009775"/>
            <wp:effectExtent l="0" t="0" r="1905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A37B0">
        <w:rPr>
          <w:rFonts w:ascii="Arial" w:hAnsi="Arial" w:cs="Arial"/>
          <w:sz w:val="20"/>
          <w:szCs w:val="20"/>
        </w:rPr>
        <w:t xml:space="preserve"> </w:t>
      </w:r>
      <w:r w:rsidR="00E701B7" w:rsidRPr="00E701B7">
        <w:rPr>
          <w:noProof/>
        </w:rPr>
        <w:t xml:space="preserve"> </w:t>
      </w:r>
      <w:r w:rsidR="00F61DD0">
        <w:rPr>
          <w:noProof/>
          <w:lang w:eastAsia="zh-CN"/>
        </w:rPr>
        <w:drawing>
          <wp:inline distT="0" distB="0" distL="0" distR="0" wp14:anchorId="24890F99" wp14:editId="5311C40D">
            <wp:extent cx="283845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7127" w:rsidRPr="0023749A" w:rsidRDefault="00E67127"/>
    <w:sectPr w:rsidR="00E67127" w:rsidRPr="0023749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6B34"/>
    <w:rsid w:val="0008631C"/>
    <w:rsid w:val="000A475A"/>
    <w:rsid w:val="000E69C6"/>
    <w:rsid w:val="00103D94"/>
    <w:rsid w:val="00106D65"/>
    <w:rsid w:val="001419AB"/>
    <w:rsid w:val="00142FA9"/>
    <w:rsid w:val="001560EF"/>
    <w:rsid w:val="00163F5A"/>
    <w:rsid w:val="00183415"/>
    <w:rsid w:val="001A3A5E"/>
    <w:rsid w:val="001B4488"/>
    <w:rsid w:val="001D45D0"/>
    <w:rsid w:val="001F518E"/>
    <w:rsid w:val="001F65E5"/>
    <w:rsid w:val="0023749A"/>
    <w:rsid w:val="00286050"/>
    <w:rsid w:val="00297783"/>
    <w:rsid w:val="002A37B0"/>
    <w:rsid w:val="002F119D"/>
    <w:rsid w:val="0030303E"/>
    <w:rsid w:val="003A51F3"/>
    <w:rsid w:val="003A584A"/>
    <w:rsid w:val="003B0B19"/>
    <w:rsid w:val="003C28C0"/>
    <w:rsid w:val="003F4A6E"/>
    <w:rsid w:val="00412E50"/>
    <w:rsid w:val="00413E33"/>
    <w:rsid w:val="00420D36"/>
    <w:rsid w:val="004368FF"/>
    <w:rsid w:val="0047730C"/>
    <w:rsid w:val="00481B7A"/>
    <w:rsid w:val="00486F20"/>
    <w:rsid w:val="0049506A"/>
    <w:rsid w:val="004B2BDF"/>
    <w:rsid w:val="004E602E"/>
    <w:rsid w:val="00533FC2"/>
    <w:rsid w:val="00536CC4"/>
    <w:rsid w:val="00590B25"/>
    <w:rsid w:val="005E7673"/>
    <w:rsid w:val="006026D7"/>
    <w:rsid w:val="00605B61"/>
    <w:rsid w:val="00655E53"/>
    <w:rsid w:val="006B7640"/>
    <w:rsid w:val="006E3E85"/>
    <w:rsid w:val="00706C1A"/>
    <w:rsid w:val="00733F3D"/>
    <w:rsid w:val="00745F6B"/>
    <w:rsid w:val="007638A4"/>
    <w:rsid w:val="00766259"/>
    <w:rsid w:val="00776C3E"/>
    <w:rsid w:val="00794037"/>
    <w:rsid w:val="007C2084"/>
    <w:rsid w:val="007C64A7"/>
    <w:rsid w:val="007D5ACD"/>
    <w:rsid w:val="00853B51"/>
    <w:rsid w:val="0086649A"/>
    <w:rsid w:val="008703EE"/>
    <w:rsid w:val="00870DDC"/>
    <w:rsid w:val="00881E3D"/>
    <w:rsid w:val="0089287C"/>
    <w:rsid w:val="008D3353"/>
    <w:rsid w:val="008E0441"/>
    <w:rsid w:val="0091443E"/>
    <w:rsid w:val="009460F8"/>
    <w:rsid w:val="0096364D"/>
    <w:rsid w:val="00966919"/>
    <w:rsid w:val="00971BE9"/>
    <w:rsid w:val="00A10986"/>
    <w:rsid w:val="00A26A44"/>
    <w:rsid w:val="00A4142F"/>
    <w:rsid w:val="00A465EE"/>
    <w:rsid w:val="00A47870"/>
    <w:rsid w:val="00A61108"/>
    <w:rsid w:val="00A835B1"/>
    <w:rsid w:val="00AB303A"/>
    <w:rsid w:val="00AF3B13"/>
    <w:rsid w:val="00AF77A7"/>
    <w:rsid w:val="00B159A9"/>
    <w:rsid w:val="00B65143"/>
    <w:rsid w:val="00BA1261"/>
    <w:rsid w:val="00BC7F10"/>
    <w:rsid w:val="00BE57C1"/>
    <w:rsid w:val="00C76097"/>
    <w:rsid w:val="00C83752"/>
    <w:rsid w:val="00C83EBF"/>
    <w:rsid w:val="00C867D8"/>
    <w:rsid w:val="00CB612B"/>
    <w:rsid w:val="00CD0DFE"/>
    <w:rsid w:val="00CD5986"/>
    <w:rsid w:val="00CD68D9"/>
    <w:rsid w:val="00CE2097"/>
    <w:rsid w:val="00CE4155"/>
    <w:rsid w:val="00D031A2"/>
    <w:rsid w:val="00D03BE4"/>
    <w:rsid w:val="00D26C8C"/>
    <w:rsid w:val="00DB4CFB"/>
    <w:rsid w:val="00DD50D1"/>
    <w:rsid w:val="00DF36F7"/>
    <w:rsid w:val="00E23A83"/>
    <w:rsid w:val="00E61E2D"/>
    <w:rsid w:val="00E67127"/>
    <w:rsid w:val="00E701B7"/>
    <w:rsid w:val="00E90470"/>
    <w:rsid w:val="00E91092"/>
    <w:rsid w:val="00EC223D"/>
    <w:rsid w:val="00EC6FA2"/>
    <w:rsid w:val="00F0203C"/>
    <w:rsid w:val="00F05CF0"/>
    <w:rsid w:val="00F24734"/>
    <w:rsid w:val="00F24D58"/>
    <w:rsid w:val="00F32D11"/>
    <w:rsid w:val="00F3478F"/>
    <w:rsid w:val="00F61DD0"/>
    <w:rsid w:val="00F8352C"/>
    <w:rsid w:val="00FA1C91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DefaultParagraphFont"/>
    <w:rsid w:val="00E23A83"/>
  </w:style>
  <w:style w:type="character" w:styleId="Hyperlink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DefaultParagraphFont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C83EBF"/>
  </w:style>
  <w:style w:type="character" w:customStyle="1" w:styleId="gl3">
    <w:name w:val="gl3"/>
    <w:basedOn w:val="DefaultParagraphFont"/>
    <w:rsid w:val="00C83EBF"/>
  </w:style>
  <w:style w:type="character" w:customStyle="1" w:styleId="st1">
    <w:name w:val="st1"/>
    <w:basedOn w:val="DefaultParagraphFont"/>
    <w:rsid w:val="00C83EBF"/>
  </w:style>
  <w:style w:type="character" w:styleId="FollowedHyperlink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TableNormal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F0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DefaultParagraphFont"/>
    <w:rsid w:val="00E23A83"/>
  </w:style>
  <w:style w:type="character" w:styleId="Hyperlink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DefaultParagraphFont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C83EBF"/>
  </w:style>
  <w:style w:type="character" w:customStyle="1" w:styleId="gl3">
    <w:name w:val="gl3"/>
    <w:basedOn w:val="DefaultParagraphFont"/>
    <w:rsid w:val="00C83EBF"/>
  </w:style>
  <w:style w:type="character" w:customStyle="1" w:styleId="st1">
    <w:name w:val="st1"/>
    <w:basedOn w:val="DefaultParagraphFont"/>
    <w:rsid w:val="00C83EBF"/>
  </w:style>
  <w:style w:type="character" w:styleId="FollowedHyperlink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TableNormal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F0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ud.org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urmob.org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sk.org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KURUMSAL\AKRED&#304;TASYON\grafik-tasarimi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24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 baseline="0"/>
              <a:t>5  GÜZ DÖNEMİ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</a:t>
            </a:r>
            <a:r>
              <a:rPr lang="en-US"/>
              <a:t>MAN 20</a:t>
            </a:r>
            <a:r>
              <a:rPr lang="tr-TR"/>
              <a:t>3</a:t>
            </a:r>
            <a:r>
              <a:rPr lang="en-US"/>
              <a:t> </a:t>
            </a:r>
            <a:r>
              <a:rPr lang="tr-TR"/>
              <a:t>MUHASEBE</a:t>
            </a:r>
            <a:r>
              <a:rPr lang="tr-TR" baseline="0"/>
              <a:t> PRENSİPLERİ</a:t>
            </a:r>
            <a:endParaRPr lang="tr-TR"/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21</c:v>
                </c:pt>
                <c:pt idx="2">
                  <c:v>2</c:v>
                </c:pt>
                <c:pt idx="3">
                  <c:v>16</c:v>
                </c:pt>
                <c:pt idx="4">
                  <c:v>8</c:v>
                </c:pt>
                <c:pt idx="5">
                  <c:v>4</c:v>
                </c:pt>
                <c:pt idx="6">
                  <c:v>4</c:v>
                </c:pt>
                <c:pt idx="7">
                  <c:v>2</c:v>
                </c:pt>
                <c:pt idx="8">
                  <c:v>0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493696"/>
        <c:axId val="158495488"/>
      </c:barChart>
      <c:catAx>
        <c:axId val="15849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8495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849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849369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23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4</a:t>
            </a:r>
            <a:r>
              <a:rPr lang="en-US" baseline="0"/>
              <a:t> </a:t>
            </a:r>
            <a:r>
              <a:rPr lang="tr-TR" baseline="0"/>
              <a:t> GÜZ </a:t>
            </a:r>
            <a:r>
              <a:rPr lang="en-US" baseline="0"/>
              <a:t>DÖ</a:t>
            </a:r>
            <a:r>
              <a:rPr lang="tr-TR" baseline="0"/>
              <a:t>N</a:t>
            </a:r>
            <a:r>
              <a:rPr lang="en-US" baseline="0"/>
              <a:t>EMİ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</a:t>
            </a:r>
            <a:r>
              <a:rPr lang="en-US"/>
              <a:t>MAN 20</a:t>
            </a:r>
            <a:r>
              <a:rPr lang="tr-TR"/>
              <a:t>3</a:t>
            </a:r>
            <a:r>
              <a:rPr lang="tr-TR" baseline="0"/>
              <a:t> </a:t>
            </a:r>
            <a:r>
              <a:rPr lang="en-US"/>
              <a:t> MUHASEBE</a:t>
            </a:r>
            <a:r>
              <a:rPr lang="tr-TR"/>
              <a:t> PRENSİPLERİ</a:t>
            </a:r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9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512640"/>
        <c:axId val="158514176"/>
      </c:barChart>
      <c:catAx>
        <c:axId val="158512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8514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8514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851264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3848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mircanol</cp:lastModifiedBy>
  <cp:revision>2</cp:revision>
  <dcterms:created xsi:type="dcterms:W3CDTF">2025-03-10T11:33:00Z</dcterms:created>
  <dcterms:modified xsi:type="dcterms:W3CDTF">2025-03-10T11:33:00Z</dcterms:modified>
</cp:coreProperties>
</file>