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E1186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OSD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367480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0121C4" w:rsidP="007A49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Critical </w:t>
            </w:r>
            <w:r w:rsidR="007A4908">
              <w:rPr>
                <w:rFonts w:ascii="Arial" w:hAnsi="Arial" w:cs="Arial"/>
                <w:sz w:val="20"/>
                <w:szCs w:val="20"/>
                <w:lang w:val="en-US"/>
              </w:rPr>
              <w:t>Thought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Soc</w:t>
            </w:r>
            <w:r w:rsidR="00E1186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E1186B">
              <w:rPr>
                <w:rFonts w:ascii="Arial" w:hAnsi="Arial" w:cs="Arial"/>
                <w:sz w:val="20"/>
                <w:szCs w:val="20"/>
                <w:lang w:val="en-US"/>
              </w:rPr>
              <w:t>l Sciences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5506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D61AB9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  <w:r w:rsidR="00DC139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6134F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118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/2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D61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E1186B" w:rsidP="00A647DD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 w:rsidR="00A647DD"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introducing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the critical theory and thought within the framework of functionalist, interpretive, humanist and structuralist paradigms</w:t>
            </w:r>
            <w:r w:rsidR="002405C9"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2405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various theories belonging to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647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analyzes the science and society from the viewpoints of </w:t>
            </w:r>
            <w:r w:rsidR="00A647DD">
              <w:rPr>
                <w:rFonts w:ascii="Arial" w:hAnsi="Arial" w:cs="Arial"/>
                <w:sz w:val="20"/>
                <w:szCs w:val="20"/>
                <w:lang w:val="en-US"/>
              </w:rPr>
              <w:t>four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the critical theory within the framework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 the critical theory with critical thinking and thought.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AE765F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different paradigm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d construct original viewpoints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AE765F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criticize his/her own arguments and counter arguments 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in a conscious manner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2D5C8C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focuses on 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>criticis</w:t>
            </w:r>
            <w:r w:rsidR="002D5C8C">
              <w:rPr>
                <w:rFonts w:ascii="Arial" w:hAnsi="Arial" w:cs="Arial"/>
                <w:color w:val="1A1A1A"/>
                <w:sz w:val="20"/>
                <w:szCs w:val="20"/>
              </w:rPr>
              <w:t>ing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 the paradigms, assumptions and methods used for explaining and predicting the physical reality and to introduce new paradigms, assumptions and methods used for explaining and predicting social </w:t>
            </w:r>
            <w:r w:rsidR="002D5C8C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reality 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within their </w:t>
            </w:r>
            <w:r w:rsidR="002D5C8C">
              <w:rPr>
                <w:rFonts w:ascii="Arial" w:hAnsi="Arial" w:cs="Arial"/>
                <w:color w:val="1A1A1A"/>
                <w:sz w:val="20"/>
                <w:szCs w:val="20"/>
              </w:rPr>
              <w:t xml:space="preserve">own 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>specific contexts.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EC3E0F" w:rsidRPr="004B5D19">
        <w:tc>
          <w:tcPr>
            <w:tcW w:w="897" w:type="dxa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3E0F" w:rsidRPr="004B5D19" w:rsidRDefault="00E42D38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</w:t>
            </w:r>
            <w:r w:rsidR="008131C9">
              <w:rPr>
                <w:rFonts w:ascii="Arial" w:hAnsi="Arial" w:cs="Arial"/>
                <w:sz w:val="20"/>
                <w:szCs w:val="20"/>
                <w:lang w:val="en-US"/>
              </w:rPr>
              <w:t xml:space="preserve">about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3E0F" w:rsidRPr="004B5D19" w:rsidRDefault="00697F78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3E0F" w:rsidRPr="004B5D19" w:rsidRDefault="00507676" w:rsidP="0050767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D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Paradigms: A Macro Outlook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507676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 and Thinking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2.8-10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5822AD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5155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Elements of the Sociology o</w:t>
            </w:r>
            <w:r w:rsidR="00D61AB9"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6601DC">
              <w:rPr>
                <w:rFonts w:ascii="Arial" w:hAnsi="Arial" w:cs="Arial"/>
                <w:b/>
                <w:sz w:val="20"/>
                <w:szCs w:val="20"/>
                <w:lang w:val="en-US"/>
              </w:rPr>
              <w:t>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EC3E0F" w:rsidRPr="004B5D19" w:rsidTr="00F03D2D">
        <w:tc>
          <w:tcPr>
            <w:tcW w:w="2690" w:type="dxa"/>
            <w:gridSpan w:val="6"/>
            <w:shd w:val="clear" w:color="auto" w:fill="D2EAF1"/>
          </w:tcPr>
          <w:p w:rsidR="00EC3E0F" w:rsidRPr="004B5D19" w:rsidRDefault="00EC3E0F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C3E0F" w:rsidRPr="004B5D19" w:rsidRDefault="005822AD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65C2" w:rsidRPr="004B5D19">
        <w:tc>
          <w:tcPr>
            <w:tcW w:w="2690" w:type="dxa"/>
            <w:gridSpan w:val="6"/>
            <w:shd w:val="clear" w:color="auto" w:fill="D2EAF1"/>
          </w:tcPr>
          <w:p w:rsidR="004E65C2" w:rsidRPr="004B5D19" w:rsidRDefault="004E65C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4E65C2" w:rsidRPr="004E65C2" w:rsidRDefault="005822AD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EC3E0F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AB664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AB664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5125C3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EC3E0F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745B64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125C3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5125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EC3E0F" w:rsidRPr="004B5D19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5125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7A4908">
      <w:pPr>
        <w:rPr>
          <w:lang w:val="en-US"/>
        </w:rPr>
      </w:pPr>
      <w:r>
        <w:rPr>
          <w:noProof/>
        </w:rPr>
        <w:drawing>
          <wp:inline distT="0" distB="0" distL="0" distR="0" wp14:anchorId="16D3FCC6" wp14:editId="363179C8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1C4"/>
    <w:rsid w:val="00055E76"/>
    <w:rsid w:val="000B39D3"/>
    <w:rsid w:val="000E0406"/>
    <w:rsid w:val="000E69C6"/>
    <w:rsid w:val="00102794"/>
    <w:rsid w:val="001419AB"/>
    <w:rsid w:val="001560EF"/>
    <w:rsid w:val="00183415"/>
    <w:rsid w:val="00196F15"/>
    <w:rsid w:val="001A55A5"/>
    <w:rsid w:val="001F5F83"/>
    <w:rsid w:val="001F65E5"/>
    <w:rsid w:val="0023665E"/>
    <w:rsid w:val="002405C9"/>
    <w:rsid w:val="002C34C9"/>
    <w:rsid w:val="002C6678"/>
    <w:rsid w:val="002D5C8C"/>
    <w:rsid w:val="00334FC2"/>
    <w:rsid w:val="003443CB"/>
    <w:rsid w:val="00367480"/>
    <w:rsid w:val="00373AEC"/>
    <w:rsid w:val="003A51F3"/>
    <w:rsid w:val="003A584A"/>
    <w:rsid w:val="003B0B19"/>
    <w:rsid w:val="003F4A6E"/>
    <w:rsid w:val="004143AA"/>
    <w:rsid w:val="004401AB"/>
    <w:rsid w:val="00451553"/>
    <w:rsid w:val="0047730C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34F5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45B64"/>
    <w:rsid w:val="00776C3E"/>
    <w:rsid w:val="0078756E"/>
    <w:rsid w:val="007A4908"/>
    <w:rsid w:val="007A5CA5"/>
    <w:rsid w:val="007C64A7"/>
    <w:rsid w:val="007D5ACD"/>
    <w:rsid w:val="00802172"/>
    <w:rsid w:val="00810EDE"/>
    <w:rsid w:val="008131C9"/>
    <w:rsid w:val="00823FF0"/>
    <w:rsid w:val="0086649A"/>
    <w:rsid w:val="008703EE"/>
    <w:rsid w:val="008A4708"/>
    <w:rsid w:val="008C4446"/>
    <w:rsid w:val="00915524"/>
    <w:rsid w:val="00921CFD"/>
    <w:rsid w:val="009460F8"/>
    <w:rsid w:val="00971BE9"/>
    <w:rsid w:val="009E0EAB"/>
    <w:rsid w:val="00A04C95"/>
    <w:rsid w:val="00A216D6"/>
    <w:rsid w:val="00A23007"/>
    <w:rsid w:val="00A647DD"/>
    <w:rsid w:val="00A813E3"/>
    <w:rsid w:val="00AA5458"/>
    <w:rsid w:val="00AB664D"/>
    <w:rsid w:val="00AE765F"/>
    <w:rsid w:val="00AF77A7"/>
    <w:rsid w:val="00BC7F10"/>
    <w:rsid w:val="00C122DD"/>
    <w:rsid w:val="00C76097"/>
    <w:rsid w:val="00C83EBF"/>
    <w:rsid w:val="00CC2E98"/>
    <w:rsid w:val="00CC3977"/>
    <w:rsid w:val="00CD0DFE"/>
    <w:rsid w:val="00CD5986"/>
    <w:rsid w:val="00CD68D9"/>
    <w:rsid w:val="00CE2097"/>
    <w:rsid w:val="00D26C8C"/>
    <w:rsid w:val="00D42E8A"/>
    <w:rsid w:val="00D61AB9"/>
    <w:rsid w:val="00D6369B"/>
    <w:rsid w:val="00DB15ED"/>
    <w:rsid w:val="00DC139B"/>
    <w:rsid w:val="00DC3858"/>
    <w:rsid w:val="00E1186B"/>
    <w:rsid w:val="00E15A23"/>
    <w:rsid w:val="00E161C9"/>
    <w:rsid w:val="00E23A83"/>
    <w:rsid w:val="00E42D38"/>
    <w:rsid w:val="00E45850"/>
    <w:rsid w:val="00E615FB"/>
    <w:rsid w:val="00E67127"/>
    <w:rsid w:val="00E90470"/>
    <w:rsid w:val="00E91092"/>
    <w:rsid w:val="00EB71EC"/>
    <w:rsid w:val="00EC12D5"/>
    <w:rsid w:val="00EC3E0F"/>
    <w:rsid w:val="00EF50D0"/>
    <w:rsid w:val="00F0203C"/>
    <w:rsid w:val="00F03D2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FALL SEMESTER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</a:t>
            </a:r>
            <a:r>
              <a:rPr lang="en-US"/>
              <a:t> </a:t>
            </a:r>
            <a:r>
              <a:rPr lang="tr-TR"/>
              <a:t>213 CRITICAL</a:t>
            </a:r>
            <a:r>
              <a:rPr lang="tr-TR" baseline="0"/>
              <a:t> THOUGHT AND  SOCIAL SCIENCES 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221504"/>
        <c:axId val="183529984"/>
      </c:barChart>
      <c:catAx>
        <c:axId val="16322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352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52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32215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3642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11</cp:revision>
  <dcterms:created xsi:type="dcterms:W3CDTF">2023-11-27T11:48:00Z</dcterms:created>
  <dcterms:modified xsi:type="dcterms:W3CDTF">2024-09-20T08:03:00Z</dcterms:modified>
</cp:coreProperties>
</file>