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7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16"/>
      </w:tblGrid>
      <w:tr w:rsidR="004339B2" w:rsidRPr="00183415" w:rsidTr="00460F0C">
        <w:trPr>
          <w:trHeight w:val="550"/>
        </w:trPr>
        <w:tc>
          <w:tcPr>
            <w:tcW w:w="1094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OF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ARTS AND SCIENCES</w:t>
            </w:r>
          </w:p>
        </w:tc>
      </w:tr>
      <w:tr w:rsidR="004339B2" w:rsidRPr="00183415" w:rsidTr="00460F0C">
        <w:tc>
          <w:tcPr>
            <w:tcW w:w="1995" w:type="dxa"/>
            <w:gridSpan w:val="4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07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339B2" w:rsidTr="00460F0C">
        <w:tc>
          <w:tcPr>
            <w:tcW w:w="1995" w:type="dxa"/>
            <w:gridSpan w:val="4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FLF 4</w:t>
            </w: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01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4339B2" w:rsidRPr="00991C07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307" w:type="dxa"/>
            <w:gridSpan w:val="3"/>
            <w:shd w:val="clear" w:color="auto" w:fill="auto"/>
          </w:tcPr>
          <w:p w:rsidR="004339B2" w:rsidRPr="0061450B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339B2" w:rsidTr="00460F0C">
        <w:tc>
          <w:tcPr>
            <w:tcW w:w="3240" w:type="dxa"/>
            <w:gridSpan w:val="8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07" w:type="dxa"/>
            <w:gridSpan w:val="16"/>
            <w:shd w:val="clear" w:color="auto" w:fill="D2EAF1"/>
          </w:tcPr>
          <w:p w:rsidR="004339B2" w:rsidRPr="00A45BEB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5BEB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01/102/201/202/301/</w:t>
            </w:r>
            <w:r w:rsidRPr="00A45BEB">
              <w:rPr>
                <w:rFonts w:ascii="Arial" w:hAnsi="Arial" w:cs="Arial"/>
                <w:b/>
                <w:sz w:val="20"/>
                <w:szCs w:val="20"/>
                <w:lang w:val="de-DE"/>
              </w:rPr>
              <w:t>302</w:t>
            </w:r>
          </w:p>
        </w:tc>
      </w:tr>
      <w:tr w:rsidR="004339B2" w:rsidRPr="00183415" w:rsidTr="00460F0C">
        <w:tc>
          <w:tcPr>
            <w:tcW w:w="3240" w:type="dxa"/>
            <w:gridSpan w:val="8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52" w:type="dxa"/>
            <w:gridSpan w:val="6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  <w:r w:rsidRPr="006F33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6F33C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4339B2" w:rsidRPr="00183415" w:rsidTr="00460F0C">
        <w:tc>
          <w:tcPr>
            <w:tcW w:w="3240" w:type="dxa"/>
            <w:gridSpan w:val="8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07" w:type="dxa"/>
            <w:gridSpan w:val="16"/>
            <w:shd w:val="clear" w:color="auto" w:fill="D2EAF1"/>
          </w:tcPr>
          <w:p w:rsidR="004339B2" w:rsidRPr="00E1430B" w:rsidRDefault="004339B2" w:rsidP="00460F0C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/4.Year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4339B2" w:rsidRPr="006F33CD" w:rsidTr="00460F0C">
        <w:tc>
          <w:tcPr>
            <w:tcW w:w="2130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D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b/>
                <w:sz w:val="20"/>
                <w:szCs w:val="20"/>
              </w:rPr>
              <w:t>Lecture</w:t>
            </w:r>
            <w:proofErr w:type="spellEnd"/>
            <w:r w:rsidRPr="006F33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D">
              <w:rPr>
                <w:rFonts w:ascii="Arial" w:hAnsi="Arial" w:cs="Arial"/>
                <w:b/>
                <w:sz w:val="20"/>
                <w:szCs w:val="20"/>
              </w:rPr>
              <w:t xml:space="preserve">Office </w:t>
            </w:r>
            <w:proofErr w:type="spellStart"/>
            <w:r w:rsidRPr="006F33CD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7" w:type="dxa"/>
            <w:gridSpan w:val="3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4339B2" w:rsidRPr="00183415" w:rsidTr="00460F0C">
        <w:tc>
          <w:tcPr>
            <w:tcW w:w="2130" w:type="dxa"/>
            <w:gridSpan w:val="5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CLEMENCON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339B2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Thursday.</w:t>
            </w: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4339B2" w:rsidRPr="00EE36B1" w:rsidRDefault="00C44684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10,0</w:t>
            </w:r>
            <w:r w:rsidR="004339B2">
              <w:rPr>
                <w:rFonts w:ascii="Arial" w:hAnsi="Arial" w:cs="Arial"/>
                <w:sz w:val="20"/>
                <w:szCs w:val="20"/>
                <w:lang w:val="en-US"/>
              </w:rPr>
              <w:t>0-16,10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339B2" w:rsidRDefault="00C44684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 w:rsidR="004339B2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4339B2" w:rsidRPr="00183415" w:rsidRDefault="00C44684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10.00-12</w:t>
            </w:r>
            <w:r w:rsidR="004339B2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307" w:type="dxa"/>
            <w:gridSpan w:val="3"/>
            <w:shd w:val="clear" w:color="auto" w:fill="D2EAF1"/>
          </w:tcPr>
          <w:p w:rsidR="004339B2" w:rsidRPr="00012332" w:rsidRDefault="00C44684" w:rsidP="00460F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5" w:history="1">
              <w:r w:rsidR="004339B2" w:rsidRPr="00FF61F9">
                <w:rPr>
                  <w:rStyle w:val="Kpr"/>
                  <w:rFonts w:ascii="Arial" w:hAnsi="Arial" w:cs="Arial"/>
                  <w:sz w:val="18"/>
                  <w:szCs w:val="18"/>
                  <w:lang w:val="en-US"/>
                </w:rPr>
                <w:t>christelleclemencon@cag.edu.tr</w:t>
              </w:r>
            </w:hyperlink>
            <w:r w:rsidR="004339B2" w:rsidRPr="00012332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4339B2" w:rsidRPr="00183415" w:rsidTr="00460F0C">
        <w:tc>
          <w:tcPr>
            <w:tcW w:w="2130" w:type="dxa"/>
            <w:gridSpan w:val="5"/>
            <w:shd w:val="clear" w:color="auto" w:fill="D2EAF1"/>
          </w:tcPr>
          <w:p w:rsidR="004339B2" w:rsidRPr="00183415" w:rsidRDefault="004339B2" w:rsidP="00460F0C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17" w:type="dxa"/>
            <w:gridSpan w:val="19"/>
            <w:shd w:val="clear" w:color="auto" w:fill="D2EAF1"/>
          </w:tcPr>
          <w:p w:rsidR="004339B2" w:rsidRPr="001750D8" w:rsidRDefault="004339B2" w:rsidP="00460F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primary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French. At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can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paraphrase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same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helps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sentences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want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exactly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39B2" w:rsidTr="00460F0C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Students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who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completed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course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successfully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should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able</w:t>
            </w:r>
            <w:proofErr w:type="spellEnd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3035" w:type="dxa"/>
            <w:gridSpan w:val="4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6F33CD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6F33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6F33CD">
              <w:rPr>
                <w:rFonts w:ascii="Arial" w:hAnsi="Arial" w:cs="Arial"/>
                <w:b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16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339B2" w:rsidRDefault="004339B2" w:rsidP="00460F0C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categorize the main points of clear standard speech on familiar matters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43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339B2" w:rsidRDefault="004339B2" w:rsidP="00460F0C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describe phrases in a simple way in order to describe experiences and events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43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339B2" w:rsidRDefault="004339B2" w:rsidP="00460F0C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recognize texts that consist mainly of high frequency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job-related language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43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339B2" w:rsidRDefault="004339B2" w:rsidP="00460F0C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recognize the descriptions of events, feelings and wishes in personal letters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43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39B2" w:rsidTr="00460F0C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339B2" w:rsidRPr="00183415" w:rsidRDefault="004339B2" w:rsidP="00460F0C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339B2" w:rsidRDefault="004339B2" w:rsidP="00460F0C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rewrite simple personal letters describing experiences and impressions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339B2" w:rsidRPr="00E1430B" w:rsidRDefault="004339B2" w:rsidP="00460F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430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4339B2" w:rsidRPr="00183415" w:rsidTr="00460F0C">
        <w:tc>
          <w:tcPr>
            <w:tcW w:w="10947" w:type="dxa"/>
            <w:gridSpan w:val="24"/>
            <w:shd w:val="clear" w:color="auto" w:fill="auto"/>
          </w:tcPr>
          <w:p w:rsidR="004339B2" w:rsidRPr="00183415" w:rsidRDefault="004339B2" w:rsidP="00460F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Pr="00E77F8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proofErr w:type="spellEnd"/>
            <w:r w:rsidRPr="00E77F8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</w:tc>
      </w:tr>
      <w:tr w:rsidR="004339B2" w:rsidRPr="00183415" w:rsidTr="00460F0C">
        <w:tc>
          <w:tcPr>
            <w:tcW w:w="10947" w:type="dxa"/>
            <w:gridSpan w:val="2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4339B2" w:rsidRPr="00183415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histoir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77F8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vécu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77F8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E77F8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articles</w:t>
            </w:r>
            <w:proofErr w:type="spellEnd"/>
          </w:p>
          <w:p w:rsidR="004339B2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</w:p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291">
              <w:rPr>
                <w:rFonts w:ascii="Arial" w:hAnsi="Arial" w:cs="Arial"/>
                <w:b/>
                <w:sz w:val="20"/>
                <w:szCs w:val="20"/>
              </w:rPr>
              <w:t>Unit13</w:t>
            </w:r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7F85">
              <w:rPr>
                <w:rFonts w:ascii="Arial" w:hAnsi="Arial" w:cs="Arial"/>
                <w:sz w:val="20"/>
                <w:szCs w:val="20"/>
              </w:rPr>
              <w:t xml:space="preserve">La 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vie</w:t>
            </w:r>
            <w:proofErr w:type="spellEnd"/>
            <w:proofErr w:type="gram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privée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F33CD">
              <w:rPr>
                <w:rFonts w:ascii="Arial" w:hAnsi="Arial" w:cs="Arial"/>
                <w:sz w:val="20"/>
                <w:szCs w:val="20"/>
              </w:rPr>
              <w:t>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CA2521" w:rsidRDefault="004339B2" w:rsidP="00460F0C">
            <w:pPr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L’imparfait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r w:rsidRPr="00E77F8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subordonné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temporelle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avec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quand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8048FF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loisirs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r w:rsidRPr="00E77F85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d’un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logement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</w:p>
        </w:tc>
      </w:tr>
      <w:tr w:rsidR="004339B2" w:rsidRPr="00183415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3C72B2" w:rsidRDefault="004339B2" w:rsidP="00460F0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 xml:space="preserve">Le passé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>recent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>Le pronom relatif qui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39B2" w:rsidRPr="000633BD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Imparfait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33075F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0633BD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0633BD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Default="004339B2" w:rsidP="00460F0C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E77F8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verbe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connaître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6291">
              <w:rPr>
                <w:rFonts w:ascii="Arial" w:hAnsi="Arial" w:cs="Arial"/>
                <w:b/>
                <w:sz w:val="20"/>
                <w:szCs w:val="20"/>
              </w:rPr>
              <w:t>Unit14</w:t>
            </w:r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6F33C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39B2" w:rsidRPr="000633BD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pronominaux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0633BD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3C72B2" w:rsidRDefault="004339B2" w:rsidP="00460F0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>Il y a + indication de temps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0633BD" w:rsidTr="00460F0C">
        <w:tc>
          <w:tcPr>
            <w:tcW w:w="897" w:type="dxa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 xml:space="preserve">Le passé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>recent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  <w:lang w:val="fr-FR"/>
              </w:rPr>
              <w:t xml:space="preserve"> : venir de + infinitif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397" w:type="dxa"/>
            <w:gridSpan w:val="5"/>
            <w:shd w:val="clear" w:color="auto" w:fill="D2EAF1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F33C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4339B2" w:rsidRPr="000633BD" w:rsidTr="00460F0C">
        <w:tc>
          <w:tcPr>
            <w:tcW w:w="897" w:type="dxa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397" w:type="dxa"/>
            <w:gridSpan w:val="5"/>
            <w:shd w:val="clear" w:color="auto" w:fill="auto"/>
          </w:tcPr>
          <w:p w:rsidR="004339B2" w:rsidRPr="006F33CD" w:rsidRDefault="004339B2" w:rsidP="00460F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33CD">
              <w:rPr>
                <w:rFonts w:ascii="Arial" w:hAnsi="Arial" w:cs="Arial"/>
                <w:sz w:val="20"/>
                <w:szCs w:val="20"/>
                <w:lang w:val="en-US"/>
              </w:rPr>
              <w:t>individual &amp; group activities</w:t>
            </w:r>
          </w:p>
        </w:tc>
      </w:tr>
      <w:tr w:rsidR="004339B2" w:rsidRPr="00183415" w:rsidTr="00460F0C">
        <w:tc>
          <w:tcPr>
            <w:tcW w:w="10947" w:type="dxa"/>
            <w:gridSpan w:val="2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4339B2" w:rsidTr="00460F0C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57" w:type="dxa"/>
            <w:gridSpan w:val="18"/>
            <w:tcBorders>
              <w:left w:val="nil"/>
            </w:tcBorders>
            <w:shd w:val="clear" w:color="auto" w:fill="auto"/>
          </w:tcPr>
          <w:p w:rsidR="004339B2" w:rsidRPr="00CB7348" w:rsidRDefault="00C44684" w:rsidP="00460F0C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Totem 2</w:t>
            </w:r>
            <w:bookmarkStart w:id="0" w:name="_GoBack"/>
            <w:bookmarkEnd w:id="0"/>
            <w:r w:rsidR="0043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proofErr w:type="spellStart"/>
            <w:r w:rsidR="004339B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Hachette</w:t>
            </w:r>
            <w:proofErr w:type="spellEnd"/>
          </w:p>
        </w:tc>
      </w:tr>
      <w:tr w:rsidR="004339B2" w:rsidTr="00460F0C">
        <w:tc>
          <w:tcPr>
            <w:tcW w:w="2690" w:type="dxa"/>
            <w:gridSpan w:val="6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257" w:type="dxa"/>
            <w:gridSpan w:val="18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newspaper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6" w:history="1">
              <w:r w:rsidRPr="007671CA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7" w:history="1">
              <w:r w:rsidRPr="007671CA">
                <w:rPr>
                  <w:rStyle w:val="Kpr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  <w:r>
              <w:t xml:space="preserve"> </w:t>
            </w:r>
          </w:p>
        </w:tc>
      </w:tr>
      <w:tr w:rsidR="004339B2" w:rsidTr="00460F0C">
        <w:tc>
          <w:tcPr>
            <w:tcW w:w="2690" w:type="dxa"/>
            <w:gridSpan w:val="6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257" w:type="dxa"/>
            <w:gridSpan w:val="18"/>
            <w:shd w:val="clear" w:color="auto" w:fill="D2EAF1"/>
          </w:tcPr>
          <w:p w:rsidR="004339B2" w:rsidRPr="00FD2E04" w:rsidRDefault="004339B2" w:rsidP="00460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39B2" w:rsidTr="00460F0C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57" w:type="dxa"/>
            <w:gridSpan w:val="18"/>
            <w:tcBorders>
              <w:left w:val="nil"/>
            </w:tcBorders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stories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E77F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7F85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4339B2" w:rsidRPr="00183415" w:rsidTr="00460F0C">
        <w:tc>
          <w:tcPr>
            <w:tcW w:w="10947" w:type="dxa"/>
            <w:gridSpan w:val="2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384" w:type="dxa"/>
            <w:gridSpan w:val="10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384" w:type="dxa"/>
            <w:gridSpan w:val="10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384" w:type="dxa"/>
            <w:gridSpan w:val="10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Research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384" w:type="dxa"/>
            <w:gridSpan w:val="10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384" w:type="dxa"/>
            <w:gridSpan w:val="10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9B2" w:rsidRPr="00183415" w:rsidTr="00460F0C">
        <w:tc>
          <w:tcPr>
            <w:tcW w:w="2870" w:type="dxa"/>
            <w:gridSpan w:val="7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384" w:type="dxa"/>
            <w:gridSpan w:val="10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39B2" w:rsidRPr="00183415" w:rsidTr="00460F0C">
        <w:trPr>
          <w:trHeight w:val="70"/>
        </w:trPr>
        <w:tc>
          <w:tcPr>
            <w:tcW w:w="10947" w:type="dxa"/>
            <w:gridSpan w:val="24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45" w:type="dxa"/>
            <w:gridSpan w:val="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45" w:type="dxa"/>
            <w:gridSpan w:val="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45" w:type="dxa"/>
            <w:gridSpan w:val="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339B2" w:rsidRPr="00183415" w:rsidTr="00460F0C">
        <w:tc>
          <w:tcPr>
            <w:tcW w:w="4185" w:type="dxa"/>
            <w:gridSpan w:val="9"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45" w:type="dxa"/>
            <w:gridSpan w:val="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4339B2" w:rsidRPr="00183415" w:rsidTr="00460F0C"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4339B2" w:rsidRPr="00183415" w:rsidRDefault="004339B2" w:rsidP="00460F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4339B2" w:rsidRPr="00183415" w:rsidRDefault="004339B2" w:rsidP="00460F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4339B2" w:rsidRPr="00183415" w:rsidRDefault="004339B2" w:rsidP="00460F0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45" w:type="dxa"/>
            <w:gridSpan w:val="2"/>
            <w:tcBorders>
              <w:left w:val="nil"/>
            </w:tcBorders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</w:tr>
      <w:tr w:rsidR="004339B2" w:rsidRPr="00183415" w:rsidTr="00460F0C">
        <w:tc>
          <w:tcPr>
            <w:tcW w:w="8802" w:type="dxa"/>
            <w:gridSpan w:val="22"/>
            <w:vMerge/>
            <w:shd w:val="clear" w:color="auto" w:fill="D2EAF1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90/30</w:t>
            </w:r>
          </w:p>
        </w:tc>
      </w:tr>
      <w:tr w:rsidR="004339B2" w:rsidRPr="00183415" w:rsidTr="00460F0C"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4339B2" w:rsidRPr="00183415" w:rsidRDefault="004339B2" w:rsidP="00460F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left w:val="nil"/>
            </w:tcBorders>
            <w:shd w:val="clear" w:color="auto" w:fill="auto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339B2" w:rsidRPr="00183415" w:rsidTr="00460F0C">
        <w:tc>
          <w:tcPr>
            <w:tcW w:w="10947" w:type="dxa"/>
            <w:gridSpan w:val="24"/>
            <w:shd w:val="clear" w:color="auto" w:fill="D2EAF1"/>
          </w:tcPr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4339B2" w:rsidRPr="00183415" w:rsidTr="00460F0C">
        <w:tc>
          <w:tcPr>
            <w:tcW w:w="1094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4339B2" w:rsidRPr="000E69C6" w:rsidTr="00460F0C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39B2" w:rsidRPr="00FE6A64" w:rsidRDefault="004339B2" w:rsidP="00460F0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85A20BE" wp14:editId="04A6BF3E">
                        <wp:extent cx="3000375" cy="2009775"/>
                        <wp:effectExtent l="0" t="0" r="0" b="0"/>
                        <wp:docPr id="2" name="Chart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39B2" w:rsidRPr="00FE6A64" w:rsidRDefault="004339B2" w:rsidP="00460F0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C035311" wp14:editId="769666B9">
                        <wp:extent cx="3219450" cy="2038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2038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39B2" w:rsidRPr="000E69C6" w:rsidTr="00460F0C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39B2" w:rsidRPr="001F65E5" w:rsidRDefault="004339B2" w:rsidP="00460F0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339B2" w:rsidRPr="001F65E5" w:rsidRDefault="004339B2" w:rsidP="00460F0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339B2" w:rsidRPr="00183415" w:rsidRDefault="004339B2" w:rsidP="00460F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339B2" w:rsidRPr="000E69C6" w:rsidRDefault="004339B2" w:rsidP="004339B2">
      <w:pPr>
        <w:tabs>
          <w:tab w:val="left" w:pos="360"/>
        </w:tabs>
        <w:rPr>
          <w:rFonts w:ascii="Arial" w:hAnsi="Arial" w:cs="Arial"/>
          <w:color w:val="0000FF"/>
          <w:sz w:val="20"/>
          <w:szCs w:val="20"/>
        </w:rPr>
      </w:pPr>
    </w:p>
    <w:p w:rsidR="004339B2" w:rsidRDefault="004339B2" w:rsidP="004339B2"/>
    <w:p w:rsidR="007C2CA8" w:rsidRDefault="00C44684"/>
    <w:sectPr w:rsidR="007C2CA8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2"/>
    <w:rsid w:val="004339B2"/>
    <w:rsid w:val="005068E5"/>
    <w:rsid w:val="0092397D"/>
    <w:rsid w:val="00C4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339B2"/>
  </w:style>
  <w:style w:type="character" w:styleId="Kpr">
    <w:name w:val="Hyperlink"/>
    <w:rsid w:val="004339B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9B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4339B2"/>
  </w:style>
  <w:style w:type="character" w:styleId="Kpr">
    <w:name w:val="Hyperlink"/>
    <w:rsid w:val="004339B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9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9B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</a:t>
            </a:r>
            <a:r>
              <a:rPr lang="fr-FR"/>
              <a:t>9</a:t>
            </a:r>
            <a:r>
              <a:rPr lang="tr-TR"/>
              <a:t>-20</a:t>
            </a:r>
            <a:r>
              <a:rPr lang="fr-FR"/>
              <a:t>20</a:t>
            </a:r>
            <a:r>
              <a:rPr lang="fr-FR" baseline="0"/>
              <a:t> SPRING</a:t>
            </a:r>
            <a:r>
              <a:rPr lang="tr-TR" baseline="0"/>
              <a:t> </a:t>
            </a:r>
            <a:r>
              <a:rPr lang="tr-TR"/>
              <a:t>SEMEST</a:t>
            </a:r>
            <a:r>
              <a:rPr lang="fr-FR"/>
              <a:t>E</a:t>
            </a:r>
            <a:r>
              <a:rPr lang="tr-TR"/>
              <a:t>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178688"/>
        <c:axId val="130606208"/>
      </c:barChart>
      <c:catAx>
        <c:axId val="264178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0606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60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17868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Clemencon Gulmez</dc:creator>
  <cp:lastModifiedBy>Christelle Clemencon Gulmez</cp:lastModifiedBy>
  <cp:revision>2</cp:revision>
  <dcterms:created xsi:type="dcterms:W3CDTF">2023-09-26T07:15:00Z</dcterms:created>
  <dcterms:modified xsi:type="dcterms:W3CDTF">2024-09-19T10:45:00Z</dcterms:modified>
</cp:coreProperties>
</file>