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3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648"/>
        <w:gridCol w:w="80"/>
        <w:gridCol w:w="162"/>
        <w:gridCol w:w="729"/>
        <w:gridCol w:w="1722"/>
      </w:tblGrid>
      <w:tr w:rsidR="00E67127" w:rsidRPr="00183415" w:rsidTr="00076F9D">
        <w:trPr>
          <w:trHeight w:val="550"/>
        </w:trPr>
        <w:tc>
          <w:tcPr>
            <w:tcW w:w="11253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E67127" w:rsidRPr="00183415" w:rsidRDefault="00057FD5" w:rsidP="001C608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057FD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</w:t>
            </w:r>
            <w:proofErr w:type="gramStart"/>
            <w:r w:rsidRPr="00057FD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OF  ECONOMICS</w:t>
            </w:r>
            <w:proofErr w:type="gramEnd"/>
            <w:r w:rsidRPr="00057FD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AND ADMINISTRATIVE SCIENCES</w:t>
            </w:r>
          </w:p>
        </w:tc>
      </w:tr>
      <w:tr w:rsidR="00E67127" w:rsidRPr="00183415" w:rsidTr="00076F9D">
        <w:tc>
          <w:tcPr>
            <w:tcW w:w="1995" w:type="dxa"/>
            <w:gridSpan w:val="4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6"/>
            <w:shd w:val="clear" w:color="auto" w:fill="D2EAF1"/>
          </w:tcPr>
          <w:p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613" w:type="dxa"/>
            <w:gridSpan w:val="3"/>
            <w:shd w:val="clear" w:color="auto" w:fill="D2EAF1"/>
          </w:tcPr>
          <w:p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67127" w:rsidTr="00076F9D">
        <w:tc>
          <w:tcPr>
            <w:tcW w:w="1995" w:type="dxa"/>
            <w:gridSpan w:val="4"/>
            <w:shd w:val="clear" w:color="auto" w:fill="auto"/>
          </w:tcPr>
          <w:p w:rsidR="00E67127" w:rsidRPr="00183415" w:rsidRDefault="00A45BEB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FLG 4</w:t>
            </w:r>
            <w:r w:rsidR="00F40908" w:rsidRPr="00401B7B">
              <w:rPr>
                <w:rFonts w:ascii="Arial" w:hAnsi="Arial" w:cs="Arial"/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991C07" w:rsidRDefault="00F40908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991C07">
              <w:rPr>
                <w:rFonts w:ascii="Arial" w:hAnsi="Arial" w:cs="Arial"/>
                <w:sz w:val="20"/>
                <w:szCs w:val="20"/>
                <w:lang w:val="en-US"/>
              </w:rPr>
              <w:t xml:space="preserve">German </w:t>
            </w:r>
            <w:r w:rsidR="001F01FF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="00A45BEB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E67127" w:rsidRPr="00183415" w:rsidRDefault="00403A7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613" w:type="dxa"/>
            <w:gridSpan w:val="3"/>
            <w:shd w:val="clear" w:color="auto" w:fill="auto"/>
          </w:tcPr>
          <w:p w:rsidR="00E67127" w:rsidRPr="0061450B" w:rsidRDefault="00057FD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E23A83" w:rsidTr="00076F9D">
        <w:tc>
          <w:tcPr>
            <w:tcW w:w="3240" w:type="dxa"/>
            <w:gridSpan w:val="8"/>
            <w:shd w:val="clear" w:color="auto" w:fill="D2EAF1"/>
          </w:tcPr>
          <w:p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8013" w:type="dxa"/>
            <w:gridSpan w:val="17"/>
            <w:shd w:val="clear" w:color="auto" w:fill="D2EAF1"/>
          </w:tcPr>
          <w:p w:rsidR="00E23A83" w:rsidRPr="00A45BEB" w:rsidRDefault="00A45BEB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BEB">
              <w:rPr>
                <w:rFonts w:ascii="Arial" w:hAnsi="Arial" w:cs="Arial"/>
                <w:b/>
                <w:sz w:val="20"/>
                <w:szCs w:val="20"/>
                <w:lang w:val="de-DE"/>
              </w:rPr>
              <w:t>FLG101/FLG102/FLG201/FLG202/FLG301/FLG302</w:t>
            </w:r>
          </w:p>
        </w:tc>
      </w:tr>
      <w:tr w:rsidR="00E23A83" w:rsidRPr="00183415" w:rsidTr="00076F9D">
        <w:tc>
          <w:tcPr>
            <w:tcW w:w="3240" w:type="dxa"/>
            <w:gridSpan w:val="8"/>
            <w:shd w:val="clear" w:color="auto" w:fill="auto"/>
          </w:tcPr>
          <w:p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E23A83" w:rsidRPr="00183415" w:rsidRDefault="00F40908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958" w:type="dxa"/>
            <w:gridSpan w:val="7"/>
            <w:shd w:val="clear" w:color="auto" w:fill="auto"/>
          </w:tcPr>
          <w:p w:rsidR="00E23A83" w:rsidRPr="00183415" w:rsidRDefault="0061450B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460B6C" w:rsidRPr="00183415" w:rsidTr="00076F9D">
        <w:tc>
          <w:tcPr>
            <w:tcW w:w="3240" w:type="dxa"/>
            <w:gridSpan w:val="8"/>
            <w:shd w:val="clear" w:color="auto" w:fill="D2EAF1"/>
          </w:tcPr>
          <w:p w:rsidR="00460B6C" w:rsidRPr="00183415" w:rsidRDefault="00460B6C" w:rsidP="00F72C5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8013" w:type="dxa"/>
            <w:gridSpan w:val="17"/>
            <w:shd w:val="clear" w:color="auto" w:fill="D2EAF1"/>
          </w:tcPr>
          <w:p w:rsidR="00460B6C" w:rsidRPr="00E1430B" w:rsidRDefault="00460B6C" w:rsidP="00F72C5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/4.Year Fall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E67127" w:rsidRPr="000633BD" w:rsidTr="00076F9D">
        <w:tc>
          <w:tcPr>
            <w:tcW w:w="2130" w:type="dxa"/>
            <w:gridSpan w:val="5"/>
            <w:shd w:val="clear" w:color="auto" w:fill="auto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E67127" w:rsidRPr="00183415" w:rsidRDefault="00E67127" w:rsidP="00E67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057" w:type="dxa"/>
            <w:gridSpan w:val="4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93" w:type="dxa"/>
            <w:gridSpan w:val="4"/>
            <w:shd w:val="clear" w:color="auto" w:fill="auto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AB45DC" w:rsidRPr="00183415" w:rsidTr="00076F9D">
        <w:tc>
          <w:tcPr>
            <w:tcW w:w="2130" w:type="dxa"/>
            <w:gridSpan w:val="5"/>
            <w:shd w:val="clear" w:color="auto" w:fill="D2EAF1"/>
          </w:tcPr>
          <w:p w:rsidR="00AB45DC" w:rsidRDefault="00AB45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AB45DC" w:rsidRDefault="00AB45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Instructor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Selda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Sekendur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AB45DC" w:rsidRDefault="0028207E" w:rsidP="0028207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A6538">
              <w:rPr>
                <w:rFonts w:ascii="Arial" w:hAnsi="Arial" w:cs="Arial"/>
                <w:sz w:val="20"/>
                <w:szCs w:val="20"/>
              </w:rPr>
              <w:t xml:space="preserve"> 10.</w:t>
            </w:r>
            <w:r w:rsidR="006C0F8A">
              <w:rPr>
                <w:rFonts w:ascii="Arial" w:hAnsi="Arial" w:cs="Arial"/>
                <w:sz w:val="20"/>
                <w:szCs w:val="20"/>
              </w:rPr>
              <w:t>15-12.2</w:t>
            </w:r>
            <w:r w:rsidR="003A65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57" w:type="dxa"/>
            <w:gridSpan w:val="4"/>
            <w:shd w:val="clear" w:color="auto" w:fill="D2EAF1"/>
          </w:tcPr>
          <w:p w:rsidR="00AB45DC" w:rsidRDefault="006C0F8A" w:rsidP="00A46D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</w:t>
            </w:r>
            <w:proofErr w:type="spellEnd"/>
            <w:r w:rsidR="0028207E">
              <w:rPr>
                <w:rFonts w:ascii="Arial" w:hAnsi="Arial" w:cs="Arial"/>
                <w:sz w:val="20"/>
                <w:szCs w:val="20"/>
              </w:rPr>
              <w:t xml:space="preserve"> 12.3</w:t>
            </w:r>
            <w:r w:rsidR="00A46DFB">
              <w:rPr>
                <w:rFonts w:ascii="Arial" w:hAnsi="Arial" w:cs="Arial"/>
                <w:sz w:val="20"/>
                <w:szCs w:val="20"/>
              </w:rPr>
              <w:t>0</w:t>
            </w:r>
            <w:r w:rsidR="004B24DF">
              <w:rPr>
                <w:rFonts w:ascii="Arial" w:hAnsi="Arial" w:cs="Arial"/>
                <w:sz w:val="20"/>
                <w:szCs w:val="20"/>
              </w:rPr>
              <w:t>-13.</w:t>
            </w:r>
            <w:r w:rsidR="0028207E">
              <w:rPr>
                <w:rFonts w:ascii="Arial" w:hAnsi="Arial" w:cs="Arial"/>
                <w:sz w:val="20"/>
                <w:szCs w:val="20"/>
              </w:rPr>
              <w:t>0</w:t>
            </w:r>
            <w:r w:rsidR="003A65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4"/>
            <w:shd w:val="clear" w:color="auto" w:fill="D2EAF1"/>
          </w:tcPr>
          <w:p w:rsidR="00AB45DC" w:rsidRDefault="006C0F8A" w:rsidP="007931D3">
            <w:pPr>
              <w:rPr>
                <w:rFonts w:ascii="Arial" w:hAnsi="Arial" w:cs="Arial"/>
                <w:bCs/>
                <w:sz w:val="16"/>
                <w:szCs w:val="16"/>
              </w:rPr>
            </w:pPr>
            <w:hyperlink r:id="rId7" w:history="1">
              <w:r w:rsidR="00AB45DC">
                <w:rPr>
                  <w:rStyle w:val="Kpr"/>
                  <w:rFonts w:ascii="Arial" w:hAnsi="Arial" w:cs="Arial"/>
                  <w:bCs/>
                  <w:sz w:val="20"/>
                  <w:szCs w:val="20"/>
                </w:rPr>
                <w:t>seldasekendur@cag.edu.tr</w:t>
              </w:r>
            </w:hyperlink>
          </w:p>
        </w:tc>
      </w:tr>
      <w:tr w:rsidR="00460B6C" w:rsidRPr="00183415" w:rsidTr="00076F9D">
        <w:tc>
          <w:tcPr>
            <w:tcW w:w="2130" w:type="dxa"/>
            <w:gridSpan w:val="5"/>
            <w:shd w:val="clear" w:color="auto" w:fill="D2EAF1"/>
          </w:tcPr>
          <w:p w:rsidR="00460B6C" w:rsidRPr="00183415" w:rsidRDefault="00460B6C" w:rsidP="00F72C5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23" w:type="dxa"/>
            <w:gridSpan w:val="20"/>
            <w:shd w:val="clear" w:color="auto" w:fill="D2EAF1"/>
          </w:tcPr>
          <w:p w:rsidR="00460B6C" w:rsidRPr="001750D8" w:rsidRDefault="00460B6C" w:rsidP="00F72C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primary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comprehensive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. At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same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time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help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can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paraphrase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same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helps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sentences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want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mean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exactly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0B6C" w:rsidTr="00076F9D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460B6C" w:rsidRPr="00183415" w:rsidRDefault="00460B6C" w:rsidP="00F72C5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0B6C" w:rsidRPr="00183415" w:rsidRDefault="00460B6C" w:rsidP="00F72C5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460B6C" w:rsidRPr="00183415" w:rsidRDefault="00460B6C" w:rsidP="00F72C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460B6C" w:rsidRPr="00183415" w:rsidRDefault="00460B6C" w:rsidP="00F72C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who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have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completed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successfully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should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able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3341" w:type="dxa"/>
            <w:gridSpan w:val="5"/>
            <w:shd w:val="clear" w:color="auto" w:fill="auto"/>
          </w:tcPr>
          <w:p w:rsidR="00460B6C" w:rsidRPr="00183415" w:rsidRDefault="00460B6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EA1C6A" w:rsidTr="00076F9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A1C6A" w:rsidRPr="00183415" w:rsidRDefault="00EA1C6A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EA1C6A" w:rsidRPr="00183415" w:rsidRDefault="00EA1C6A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EA1C6A" w:rsidRPr="00183415" w:rsidRDefault="00EA1C6A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Output</w:t>
            </w:r>
            <w:proofErr w:type="spellEnd"/>
          </w:p>
        </w:tc>
        <w:tc>
          <w:tcPr>
            <w:tcW w:w="1722" w:type="dxa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Net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Effect</w:t>
            </w:r>
            <w:proofErr w:type="spellEnd"/>
          </w:p>
        </w:tc>
      </w:tr>
      <w:tr w:rsidR="00EA1C6A" w:rsidTr="00076F9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A1C6A" w:rsidRPr="00183415" w:rsidRDefault="00EA1C6A" w:rsidP="000D19D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A1C6A" w:rsidRPr="00183415" w:rsidRDefault="00EA1C6A" w:rsidP="000D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A1C6A" w:rsidRDefault="00EA1C6A" w:rsidP="000D19D3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categorize the main points of clear standard speech on familiar matters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EA1C6A" w:rsidTr="00076F9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A1C6A" w:rsidRPr="00183415" w:rsidRDefault="00EA1C6A" w:rsidP="000D19D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A1C6A" w:rsidRPr="00183415" w:rsidRDefault="00EA1C6A" w:rsidP="000D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A1C6A" w:rsidRDefault="00EA1C6A" w:rsidP="000D19D3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describe phrases in a simple way in order to describe experiences and events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2" w:type="dxa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EA1C6A" w:rsidTr="00076F9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A1C6A" w:rsidRPr="00183415" w:rsidRDefault="00EA1C6A" w:rsidP="000D19D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A1C6A" w:rsidRPr="00183415" w:rsidRDefault="00EA1C6A" w:rsidP="000D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A1C6A" w:rsidRDefault="00EA1C6A" w:rsidP="000D19D3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recognize texts that consist mainly of high frequency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or job-related language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EA1C6A" w:rsidTr="00076F9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A1C6A" w:rsidRPr="00183415" w:rsidRDefault="00EA1C6A" w:rsidP="000D19D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A1C6A" w:rsidRPr="00183415" w:rsidRDefault="00EA1C6A" w:rsidP="000D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A1C6A" w:rsidRDefault="00EA1C6A" w:rsidP="000D19D3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recognize the descriptions of events, feelings and wishes in personal letters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2" w:type="dxa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EA1C6A" w:rsidTr="00076F9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EA1C6A" w:rsidRPr="00183415" w:rsidRDefault="00EA1C6A" w:rsidP="000D19D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A1C6A" w:rsidRPr="00183415" w:rsidRDefault="00EA1C6A" w:rsidP="000D1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A1C6A" w:rsidRDefault="00EA1C6A" w:rsidP="000D19D3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rewrite simple personal letters describing experiences and impressions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A1C6A" w:rsidRDefault="00EA1C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460B6C" w:rsidRPr="00183415" w:rsidTr="00076F9D">
        <w:tc>
          <w:tcPr>
            <w:tcW w:w="11253" w:type="dxa"/>
            <w:gridSpan w:val="25"/>
            <w:shd w:val="clear" w:color="auto" w:fill="auto"/>
          </w:tcPr>
          <w:p w:rsidR="00460B6C" w:rsidRPr="00183415" w:rsidRDefault="00460B6C" w:rsidP="00F72C5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F8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E77F85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proofErr w:type="spellEnd"/>
            <w:r w:rsidRPr="00E77F8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is a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adult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grade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</w:p>
        </w:tc>
      </w:tr>
      <w:tr w:rsidR="001C4CBC" w:rsidRPr="00183415" w:rsidTr="00076F9D">
        <w:tc>
          <w:tcPr>
            <w:tcW w:w="11253" w:type="dxa"/>
            <w:gridSpan w:val="25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1C4CBC" w:rsidRPr="00183415" w:rsidTr="00076F9D">
        <w:tc>
          <w:tcPr>
            <w:tcW w:w="897" w:type="dxa"/>
            <w:shd w:val="clear" w:color="auto" w:fill="auto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703" w:type="dxa"/>
            <w:gridSpan w:val="6"/>
            <w:shd w:val="clear" w:color="auto" w:fill="auto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192A01" w:rsidRPr="00183415" w:rsidTr="00076F9D">
        <w:tc>
          <w:tcPr>
            <w:tcW w:w="897" w:type="dxa"/>
            <w:shd w:val="clear" w:color="auto" w:fill="D2EAF1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Wiederholung</w:t>
            </w:r>
            <w:proofErr w:type="spellEnd"/>
          </w:p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Einführung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Kapitel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Arbeitsblätter</w:t>
            </w:r>
            <w:proofErr w:type="spellEnd"/>
          </w:p>
        </w:tc>
        <w:tc>
          <w:tcPr>
            <w:tcW w:w="3703" w:type="dxa"/>
            <w:gridSpan w:val="6"/>
            <w:shd w:val="clear" w:color="auto" w:fill="D2EAF1"/>
          </w:tcPr>
          <w:p w:rsidR="00192A01" w:rsidRPr="00F76866" w:rsidRDefault="00192A01" w:rsidP="00896B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group activities,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speak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ing, reading</w:t>
            </w:r>
          </w:p>
        </w:tc>
      </w:tr>
      <w:tr w:rsidR="00192A01" w:rsidRPr="00183415" w:rsidTr="00076F9D">
        <w:tc>
          <w:tcPr>
            <w:tcW w:w="897" w:type="dxa"/>
            <w:shd w:val="clear" w:color="auto" w:fill="auto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ein Gespräch am Fahrkatenschalten führen/ über Freizeitangebote sprechen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Kapitel 5</w:t>
            </w:r>
          </w:p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Was machen Sie beruflich?</w:t>
            </w:r>
          </w:p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LB.s. 52</w:t>
            </w:r>
          </w:p>
        </w:tc>
        <w:tc>
          <w:tcPr>
            <w:tcW w:w="3703" w:type="dxa"/>
            <w:gridSpan w:val="6"/>
            <w:shd w:val="clear" w:color="auto" w:fill="auto"/>
          </w:tcPr>
          <w:p w:rsidR="00192A01" w:rsidRPr="00F76866" w:rsidRDefault="00192A01" w:rsidP="0026302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group activities, </w:t>
            </w:r>
            <w:r w:rsidRPr="00DB6A56">
              <w:rPr>
                <w:rFonts w:ascii="Arial" w:hAnsi="Arial" w:cs="Arial"/>
                <w:b/>
                <w:sz w:val="20"/>
                <w:szCs w:val="20"/>
                <w:lang w:val="en-US"/>
              </w:rPr>
              <w:t>reading,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writing</w:t>
            </w:r>
          </w:p>
        </w:tc>
      </w:tr>
      <w:tr w:rsidR="00192A01" w:rsidRPr="00183415" w:rsidTr="00076F9D">
        <w:tc>
          <w:tcPr>
            <w:tcW w:w="897" w:type="dxa"/>
            <w:shd w:val="clear" w:color="auto" w:fill="D2EAF1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Grammatik Adjektive nach dem unbestimmten Artikel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LB s. 54</w:t>
            </w:r>
          </w:p>
        </w:tc>
        <w:tc>
          <w:tcPr>
            <w:tcW w:w="3703" w:type="dxa"/>
            <w:gridSpan w:val="6"/>
            <w:shd w:val="clear" w:color="auto" w:fill="D2EAF1"/>
          </w:tcPr>
          <w:p w:rsidR="00192A01" w:rsidRPr="00F76866" w:rsidRDefault="00192A01" w:rsidP="00D4531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activities, reading</w:t>
            </w:r>
          </w:p>
        </w:tc>
      </w:tr>
      <w:tr w:rsidR="00192A01" w:rsidRPr="00183415" w:rsidTr="00076F9D">
        <w:tc>
          <w:tcPr>
            <w:tcW w:w="897" w:type="dxa"/>
            <w:shd w:val="clear" w:color="auto" w:fill="auto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Berufswünsche äußern/ einen Traumberuf vorstellen</w:t>
            </w:r>
          </w:p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das Verb werden</w:t>
            </w:r>
          </w:p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LB s. 55</w:t>
            </w:r>
          </w:p>
        </w:tc>
        <w:tc>
          <w:tcPr>
            <w:tcW w:w="3703" w:type="dxa"/>
            <w:gridSpan w:val="6"/>
            <w:shd w:val="clear" w:color="auto" w:fill="auto"/>
          </w:tcPr>
          <w:p w:rsidR="00192A01" w:rsidRPr="00F76866" w:rsidRDefault="00192A01" w:rsidP="00DB6A5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D5C57">
              <w:rPr>
                <w:rFonts w:ascii="Arial" w:hAnsi="Arial" w:cs="Arial"/>
                <w:b/>
                <w:sz w:val="20"/>
                <w:szCs w:val="20"/>
                <w:lang w:val="en-US"/>
              </w:rPr>
              <w:t>individual &amp; group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D5C57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activities, reading,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D5C57">
              <w:rPr>
                <w:rFonts w:ascii="Arial" w:hAnsi="Arial" w:cs="Arial"/>
                <w:b/>
                <w:sz w:val="20"/>
                <w:szCs w:val="20"/>
                <w:lang w:val="en-US"/>
              </w:rPr>
              <w:t>writing</w:t>
            </w:r>
          </w:p>
        </w:tc>
      </w:tr>
      <w:tr w:rsidR="00192A01" w:rsidRPr="008048FF" w:rsidTr="00076F9D">
        <w:tc>
          <w:tcPr>
            <w:tcW w:w="897" w:type="dxa"/>
            <w:shd w:val="clear" w:color="auto" w:fill="D2EAF1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Wiederholung von Adjektivdeklination mit bestimmten und unbestimmten Artikeln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703" w:type="dxa"/>
            <w:gridSpan w:val="6"/>
            <w:shd w:val="clear" w:color="auto" w:fill="D2EAF1"/>
          </w:tcPr>
          <w:p w:rsidR="00192A01" w:rsidRDefault="00192A01" w:rsidP="00E2082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F034B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activities, reading, writing,</w:t>
            </w:r>
          </w:p>
          <w:p w:rsidR="00192A01" w:rsidRPr="00D607B3" w:rsidRDefault="00192A01" w:rsidP="00E208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34B">
              <w:rPr>
                <w:rFonts w:ascii="Arial" w:hAnsi="Arial" w:cs="Arial"/>
                <w:b/>
                <w:sz w:val="20"/>
                <w:szCs w:val="20"/>
                <w:lang w:val="en-US"/>
              </w:rPr>
              <w:t>speaking</w:t>
            </w:r>
          </w:p>
        </w:tc>
      </w:tr>
      <w:tr w:rsidR="00192A01" w:rsidRPr="00183415" w:rsidTr="00076F9D">
        <w:tc>
          <w:tcPr>
            <w:tcW w:w="897" w:type="dxa"/>
            <w:shd w:val="clear" w:color="auto" w:fill="auto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Quiz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Test</w:t>
            </w:r>
          </w:p>
        </w:tc>
        <w:tc>
          <w:tcPr>
            <w:tcW w:w="3703" w:type="dxa"/>
            <w:gridSpan w:val="6"/>
            <w:shd w:val="clear" w:color="auto" w:fill="auto"/>
          </w:tcPr>
          <w:p w:rsidR="00192A01" w:rsidRPr="008A687B" w:rsidRDefault="00192A01" w:rsidP="008A687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individual &amp; group activitie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s, reading, writing, listening, speaking</w:t>
            </w:r>
          </w:p>
        </w:tc>
      </w:tr>
      <w:tr w:rsidR="00192A01" w:rsidRPr="00183415" w:rsidTr="00076F9D">
        <w:tc>
          <w:tcPr>
            <w:tcW w:w="897" w:type="dxa"/>
            <w:shd w:val="clear" w:color="auto" w:fill="D2EAF1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über Vor- und Nachteile von Verkehrsmitteln sprechen</w:t>
            </w:r>
          </w:p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Wortschatz: öffentlicher Verkehr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Kapitel 6</w:t>
            </w:r>
          </w:p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Ganz schön mobil</w:t>
            </w:r>
          </w:p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LB.s. 60-61</w:t>
            </w:r>
          </w:p>
        </w:tc>
        <w:tc>
          <w:tcPr>
            <w:tcW w:w="3703" w:type="dxa"/>
            <w:gridSpan w:val="6"/>
            <w:shd w:val="clear" w:color="auto" w:fill="D2EAF1"/>
          </w:tcPr>
          <w:p w:rsidR="00192A01" w:rsidRPr="00D607B3" w:rsidRDefault="00192A01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individual &amp; group activities</w:t>
            </w:r>
          </w:p>
        </w:tc>
      </w:tr>
      <w:tr w:rsidR="00192A01" w:rsidRPr="000633BD" w:rsidTr="00076F9D">
        <w:tc>
          <w:tcPr>
            <w:tcW w:w="897" w:type="dxa"/>
            <w:shd w:val="clear" w:color="auto" w:fill="auto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Informationen erfragen</w:t>
            </w:r>
          </w:p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Grammatik: Nebensatz: Indirekte Fragesätze (W-Fragen)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LB s. 62</w:t>
            </w:r>
          </w:p>
        </w:tc>
        <w:tc>
          <w:tcPr>
            <w:tcW w:w="3703" w:type="dxa"/>
            <w:gridSpan w:val="6"/>
            <w:shd w:val="clear" w:color="auto" w:fill="auto"/>
          </w:tcPr>
          <w:p w:rsidR="00192A01" w:rsidRDefault="00192A01" w:rsidP="00EE49A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group activities,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listening, reading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</w:p>
          <w:p w:rsidR="00192A01" w:rsidRPr="00D607B3" w:rsidRDefault="00192A01" w:rsidP="00EE49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speaking</w:t>
            </w:r>
          </w:p>
        </w:tc>
      </w:tr>
      <w:tr w:rsidR="00192A01" w:rsidRPr="000633BD" w:rsidTr="00076F9D">
        <w:tc>
          <w:tcPr>
            <w:tcW w:w="897" w:type="dxa"/>
            <w:shd w:val="clear" w:color="auto" w:fill="D2EAF1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Sprachhandlungen: Unsicherheit und Nichtwissen ausdrücken </w:t>
            </w:r>
          </w:p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Nebensatz: Indirekte Fragesätze (Ja-/Nein- Fragen mit ob)</w:t>
            </w:r>
          </w:p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LB s. 63</w:t>
            </w:r>
          </w:p>
        </w:tc>
        <w:tc>
          <w:tcPr>
            <w:tcW w:w="3703" w:type="dxa"/>
            <w:gridSpan w:val="6"/>
            <w:shd w:val="clear" w:color="auto" w:fill="D2EAF1"/>
          </w:tcPr>
          <w:p w:rsidR="00192A01" w:rsidRDefault="00192A01" w:rsidP="005004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group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activities,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192A01" w:rsidRPr="00D607B3" w:rsidRDefault="00192A01" w:rsidP="00500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reading, writing</w:t>
            </w:r>
          </w:p>
        </w:tc>
      </w:tr>
      <w:tr w:rsidR="00192A01" w:rsidRPr="000633BD" w:rsidTr="00076F9D">
        <w:tc>
          <w:tcPr>
            <w:tcW w:w="897" w:type="dxa"/>
            <w:shd w:val="clear" w:color="auto" w:fill="auto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eine Wegbeschreibung verstehen und geben; Zeitungsartikel verstehen; die eigene Meinung sagen</w:t>
            </w:r>
          </w:p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Grammatik: lokale Präpositionen an…vorbei, durch… </w:t>
            </w:r>
          </w:p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WS: Rund ums Autofahren</w:t>
            </w:r>
          </w:p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Aussprache: Schwierige Wörter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 xml:space="preserve">LB s.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64-65</w:t>
            </w:r>
          </w:p>
        </w:tc>
        <w:tc>
          <w:tcPr>
            <w:tcW w:w="3703" w:type="dxa"/>
            <w:gridSpan w:val="6"/>
            <w:shd w:val="clear" w:color="auto" w:fill="auto"/>
          </w:tcPr>
          <w:p w:rsidR="00192A01" w:rsidRPr="00D607B3" w:rsidRDefault="00192A01" w:rsidP="002745D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plenary conversation,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activities, reading, writing</w:t>
            </w:r>
          </w:p>
        </w:tc>
      </w:tr>
      <w:tr w:rsidR="00192A01" w:rsidRPr="000633BD" w:rsidTr="00076F9D">
        <w:tc>
          <w:tcPr>
            <w:tcW w:w="897" w:type="dxa"/>
            <w:shd w:val="clear" w:color="auto" w:fill="D2EAF1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Begeisterung, Hoffnung Enttäuschung ausdrücken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Kapitel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 </w:t>
            </w:r>
          </w:p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Sportlich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sportlich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03" w:type="dxa"/>
            <w:gridSpan w:val="6"/>
            <w:shd w:val="clear" w:color="auto" w:fill="D2EAF1"/>
          </w:tcPr>
          <w:p w:rsidR="00192A01" w:rsidRPr="009639F5" w:rsidRDefault="00192A01" w:rsidP="001B7FC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individual &amp; group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activities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 reading, writing, listening</w:t>
            </w:r>
          </w:p>
        </w:tc>
      </w:tr>
      <w:tr w:rsidR="00192A01" w:rsidRPr="000633BD" w:rsidTr="00076F9D">
        <w:tc>
          <w:tcPr>
            <w:tcW w:w="897" w:type="dxa"/>
            <w:shd w:val="clear" w:color="auto" w:fill="auto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Wortschatz: Extreme Sportarten/Fans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LB. S. 16-17</w:t>
            </w:r>
          </w:p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03" w:type="dxa"/>
            <w:gridSpan w:val="6"/>
            <w:shd w:val="clear" w:color="auto" w:fill="auto"/>
          </w:tcPr>
          <w:p w:rsidR="00192A01" w:rsidRPr="00233823" w:rsidRDefault="00192A01" w:rsidP="00B323A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plenary conversation,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reading,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writing,  </w:t>
            </w:r>
          </w:p>
        </w:tc>
      </w:tr>
      <w:tr w:rsidR="00192A01" w:rsidRPr="000633BD" w:rsidTr="00076F9D">
        <w:tc>
          <w:tcPr>
            <w:tcW w:w="897" w:type="dxa"/>
            <w:shd w:val="clear" w:color="auto" w:fill="D2EAF1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Fan Kommentare verstehen</w:t>
            </w:r>
          </w:p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Sätze verbinden mit „deshalb, trotzdem und obwohl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LB s. 18-19</w:t>
            </w:r>
          </w:p>
        </w:tc>
        <w:tc>
          <w:tcPr>
            <w:tcW w:w="3703" w:type="dxa"/>
            <w:gridSpan w:val="6"/>
            <w:shd w:val="clear" w:color="auto" w:fill="D2EAF1"/>
          </w:tcPr>
          <w:p w:rsidR="00192A01" w:rsidRPr="00B821D9" w:rsidRDefault="00192A01" w:rsidP="00A409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821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individual &amp; group activities, reading, listening, speaking       </w:t>
            </w:r>
          </w:p>
          <w:p w:rsidR="00192A01" w:rsidRPr="00D607B3" w:rsidRDefault="00192A01" w:rsidP="00E37D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</w:t>
            </w:r>
          </w:p>
        </w:tc>
      </w:tr>
      <w:tr w:rsidR="00192A01" w:rsidRPr="000633BD" w:rsidTr="00076F9D">
        <w:tc>
          <w:tcPr>
            <w:tcW w:w="897" w:type="dxa"/>
            <w:shd w:val="clear" w:color="auto" w:fill="auto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2A01" w:rsidRDefault="00192A01" w:rsidP="00362D1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Übungen mit „deshalb, trotzdem und obwohl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192A01" w:rsidRDefault="00192A01" w:rsidP="0036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Zusatzmaterialien</w:t>
            </w:r>
            <w:proofErr w:type="spellEnd"/>
          </w:p>
        </w:tc>
        <w:tc>
          <w:tcPr>
            <w:tcW w:w="3703" w:type="dxa"/>
            <w:gridSpan w:val="6"/>
            <w:shd w:val="clear" w:color="auto" w:fill="auto"/>
          </w:tcPr>
          <w:p w:rsidR="00192A01" w:rsidRDefault="00192A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Individual &amp; group activities              </w:t>
            </w:r>
          </w:p>
        </w:tc>
      </w:tr>
      <w:tr w:rsidR="001C4CBC" w:rsidRPr="00183415" w:rsidTr="00076F9D">
        <w:tc>
          <w:tcPr>
            <w:tcW w:w="11253" w:type="dxa"/>
            <w:gridSpan w:val="25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6D7C02" w:rsidTr="00076F9D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6D7C02" w:rsidRPr="00183415" w:rsidRDefault="006D7C02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563" w:type="dxa"/>
            <w:gridSpan w:val="19"/>
            <w:tcBorders>
              <w:left w:val="nil"/>
            </w:tcBorders>
            <w:shd w:val="clear" w:color="auto" w:fill="auto"/>
          </w:tcPr>
          <w:p w:rsidR="006D7C02" w:rsidRPr="00183415" w:rsidRDefault="006D7C02" w:rsidP="006D7C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Netzwerk A2</w:t>
            </w:r>
            <w:r w:rsidR="00627D8B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.1</w:t>
            </w:r>
            <w:r w:rsidRPr="00CB7348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  (Langenscheidt)  </w:t>
            </w:r>
            <w:r w:rsidRPr="00CB7348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ab/>
            </w:r>
            <w:r w:rsidR="005101B9">
              <w:rPr>
                <w:rStyle w:val="Gl"/>
                <w:rFonts w:ascii="Arial" w:hAnsi="Arial" w:cs="Arial"/>
                <w:color w:val="000000"/>
                <w:spacing w:val="2"/>
                <w:sz w:val="18"/>
                <w:szCs w:val="18"/>
                <w:shd w:val="clear" w:color="auto" w:fill="FFFFFF"/>
              </w:rPr>
              <w:t>ISBN</w:t>
            </w:r>
            <w:r w:rsidR="005101B9">
              <w:rPr>
                <w:rFonts w:ascii="Arial" w:hAnsi="Arial" w:cs="Arial"/>
                <w:color w:val="000000"/>
                <w:spacing w:val="2"/>
                <w:sz w:val="18"/>
                <w:szCs w:val="18"/>
                <w:shd w:val="clear" w:color="auto" w:fill="FFFFFF"/>
              </w:rPr>
              <w:t> 978-3-12-606142-1</w:t>
            </w:r>
          </w:p>
        </w:tc>
      </w:tr>
      <w:tr w:rsidR="006D7C02" w:rsidTr="00076F9D">
        <w:tc>
          <w:tcPr>
            <w:tcW w:w="2690" w:type="dxa"/>
            <w:gridSpan w:val="6"/>
            <w:shd w:val="clear" w:color="auto" w:fill="D2EAF1"/>
          </w:tcPr>
          <w:p w:rsidR="006D7C02" w:rsidRPr="00183415" w:rsidRDefault="006D7C02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  <w:proofErr w:type="spellEnd"/>
          </w:p>
        </w:tc>
        <w:tc>
          <w:tcPr>
            <w:tcW w:w="8563" w:type="dxa"/>
            <w:gridSpan w:val="19"/>
            <w:shd w:val="clear" w:color="auto" w:fill="D2EAF1"/>
          </w:tcPr>
          <w:p w:rsidR="00627D8B" w:rsidRDefault="006C0F8A" w:rsidP="00627D8B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627D8B">
                <w:rPr>
                  <w:rStyle w:val="Kpr"/>
                  <w:rFonts w:ascii="Arial" w:hAnsi="Arial" w:cs="Arial"/>
                  <w:sz w:val="20"/>
                  <w:szCs w:val="20"/>
                </w:rPr>
                <w:t>http://xportal.klett-sprachen.de/netzwerka1/</w:t>
              </w:r>
            </w:hyperlink>
            <w:r w:rsidR="00627D8B">
              <w:rPr>
                <w:rFonts w:ascii="Arial" w:hAnsi="Arial" w:cs="Arial"/>
                <w:color w:val="31849B"/>
                <w:sz w:val="20"/>
                <w:szCs w:val="20"/>
              </w:rPr>
              <w:t>.</w:t>
            </w:r>
            <w:r w:rsidR="00627D8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D7C02" w:rsidRPr="00183415" w:rsidRDefault="006C0F8A" w:rsidP="00627D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9" w:history="1">
              <w:r w:rsidR="00627D8B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http://xportal.klett-sprachen.de/netzwerka2/</w:t>
              </w:r>
            </w:hyperlink>
          </w:p>
        </w:tc>
      </w:tr>
      <w:tr w:rsidR="001C4CBC" w:rsidTr="00076F9D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1C4CBC" w:rsidRPr="006F12AD" w:rsidRDefault="001C4CBC" w:rsidP="00C83EB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1C4CBC" w:rsidRDefault="001C4CBC" w:rsidP="00C83EBF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1C4CBC" w:rsidRPr="00183415" w:rsidRDefault="001C4CBC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563" w:type="dxa"/>
            <w:gridSpan w:val="19"/>
            <w:tcBorders>
              <w:left w:val="nil"/>
            </w:tcBorders>
            <w:shd w:val="clear" w:color="auto" w:fill="auto"/>
          </w:tcPr>
          <w:p w:rsidR="001C4CBC" w:rsidRPr="00CD0DFE" w:rsidRDefault="001C4CBC" w:rsidP="00C83EB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C4CBC" w:rsidTr="00076F9D">
        <w:tc>
          <w:tcPr>
            <w:tcW w:w="2690" w:type="dxa"/>
            <w:gridSpan w:val="6"/>
            <w:shd w:val="clear" w:color="auto" w:fill="D2EAF1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563" w:type="dxa"/>
            <w:gridSpan w:val="19"/>
            <w:shd w:val="clear" w:color="auto" w:fill="D2EAF1"/>
          </w:tcPr>
          <w:p w:rsidR="001C4CBC" w:rsidRPr="00FD2E04" w:rsidRDefault="001C4CBC" w:rsidP="00F337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newspapers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magazines</w:t>
            </w:r>
            <w:proofErr w:type="spellEnd"/>
          </w:p>
        </w:tc>
      </w:tr>
      <w:tr w:rsidR="001C4CBC" w:rsidTr="00076F9D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563" w:type="dxa"/>
            <w:gridSpan w:val="19"/>
            <w:tcBorders>
              <w:left w:val="nil"/>
            </w:tcBorders>
            <w:shd w:val="clear" w:color="auto" w:fill="auto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Worksheets (one per unit)</w:t>
            </w:r>
          </w:p>
        </w:tc>
      </w:tr>
      <w:tr w:rsidR="001C4CBC" w:rsidRPr="00183415" w:rsidTr="00076F9D">
        <w:tc>
          <w:tcPr>
            <w:tcW w:w="11253" w:type="dxa"/>
            <w:gridSpan w:val="25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1C4CBC" w:rsidRPr="00183415" w:rsidTr="00076F9D">
        <w:tc>
          <w:tcPr>
            <w:tcW w:w="2870" w:type="dxa"/>
            <w:gridSpan w:val="7"/>
            <w:shd w:val="clear" w:color="auto" w:fill="auto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690" w:type="dxa"/>
            <w:gridSpan w:val="11"/>
            <w:shd w:val="clear" w:color="auto" w:fill="auto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1C4CBC" w:rsidRPr="00183415" w:rsidTr="00076F9D">
        <w:tc>
          <w:tcPr>
            <w:tcW w:w="2870" w:type="dxa"/>
            <w:gridSpan w:val="7"/>
            <w:shd w:val="clear" w:color="auto" w:fill="D2EAF1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1C4CBC" w:rsidRPr="00183415" w:rsidRDefault="00232EEA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C4CBC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690" w:type="dxa"/>
            <w:gridSpan w:val="11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4CBC" w:rsidRPr="00183415" w:rsidTr="00076F9D">
        <w:tc>
          <w:tcPr>
            <w:tcW w:w="2870" w:type="dxa"/>
            <w:gridSpan w:val="7"/>
            <w:shd w:val="clear" w:color="auto" w:fill="auto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1C4CBC" w:rsidRPr="00183415" w:rsidRDefault="00232EEA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C4CBC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690" w:type="dxa"/>
            <w:gridSpan w:val="11"/>
            <w:shd w:val="clear" w:color="auto" w:fill="auto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4CBC" w:rsidRPr="00183415" w:rsidTr="00076F9D">
        <w:tc>
          <w:tcPr>
            <w:tcW w:w="2870" w:type="dxa"/>
            <w:gridSpan w:val="7"/>
            <w:shd w:val="clear" w:color="auto" w:fill="D2EAF1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1C4CBC" w:rsidRPr="00183415" w:rsidRDefault="002F188E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1C4CBC" w:rsidRPr="00183415" w:rsidRDefault="00232EEA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C4CBC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690" w:type="dxa"/>
            <w:gridSpan w:val="11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4CBC" w:rsidRPr="00183415" w:rsidTr="00076F9D">
        <w:trPr>
          <w:trHeight w:val="70"/>
        </w:trPr>
        <w:tc>
          <w:tcPr>
            <w:tcW w:w="11253" w:type="dxa"/>
            <w:gridSpan w:val="25"/>
            <w:shd w:val="clear" w:color="auto" w:fill="auto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1C4CBC" w:rsidRPr="00183415" w:rsidTr="00076F9D">
        <w:tc>
          <w:tcPr>
            <w:tcW w:w="4185" w:type="dxa"/>
            <w:gridSpan w:val="9"/>
            <w:shd w:val="clear" w:color="auto" w:fill="D2EAF1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8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451" w:type="dxa"/>
            <w:gridSpan w:val="2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C4CBC" w:rsidRPr="00183415" w:rsidTr="00076F9D">
        <w:tc>
          <w:tcPr>
            <w:tcW w:w="4185" w:type="dxa"/>
            <w:gridSpan w:val="9"/>
            <w:shd w:val="clear" w:color="auto" w:fill="auto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51" w:type="dxa"/>
            <w:gridSpan w:val="2"/>
            <w:shd w:val="clear" w:color="auto" w:fill="auto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1C4CBC" w:rsidRPr="00183415" w:rsidTr="00076F9D">
        <w:tc>
          <w:tcPr>
            <w:tcW w:w="4185" w:type="dxa"/>
            <w:gridSpan w:val="9"/>
            <w:shd w:val="clear" w:color="auto" w:fill="D2EAF1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1C4CBC" w:rsidRPr="00183415" w:rsidRDefault="00A973E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51" w:type="dxa"/>
            <w:gridSpan w:val="2"/>
            <w:shd w:val="clear" w:color="auto" w:fill="D2EAF1"/>
          </w:tcPr>
          <w:p w:rsidR="001C4CBC" w:rsidRPr="00183415" w:rsidRDefault="00A973E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1C4CBC" w:rsidRPr="00183415" w:rsidTr="00076F9D">
        <w:tc>
          <w:tcPr>
            <w:tcW w:w="4185" w:type="dxa"/>
            <w:gridSpan w:val="9"/>
            <w:shd w:val="clear" w:color="auto" w:fill="D2EAF1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1C4CBC" w:rsidRPr="00183415" w:rsidRDefault="00A973E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51" w:type="dxa"/>
            <w:gridSpan w:val="2"/>
            <w:shd w:val="clear" w:color="auto" w:fill="D2EAF1"/>
          </w:tcPr>
          <w:p w:rsidR="001C4CBC" w:rsidRPr="00183415" w:rsidRDefault="00A973E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C4CBC" w:rsidRPr="00183415" w:rsidTr="00076F9D">
        <w:tc>
          <w:tcPr>
            <w:tcW w:w="4185" w:type="dxa"/>
            <w:gridSpan w:val="9"/>
            <w:shd w:val="clear" w:color="auto" w:fill="D2EAF1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1C4CBC" w:rsidRPr="00183415" w:rsidRDefault="00232EEA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451" w:type="dxa"/>
            <w:gridSpan w:val="2"/>
            <w:shd w:val="clear" w:color="auto" w:fill="D2EAF1"/>
          </w:tcPr>
          <w:p w:rsidR="001C4CBC" w:rsidRPr="00183415" w:rsidRDefault="00232EEA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1C4CBC" w:rsidRPr="00183415" w:rsidTr="00076F9D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1C4CBC" w:rsidRPr="00183415" w:rsidRDefault="001C4CBC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1C4CBC" w:rsidRPr="00183415" w:rsidRDefault="001C4CBC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1C4CBC" w:rsidRPr="00183415" w:rsidRDefault="001C4CBC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451" w:type="dxa"/>
            <w:gridSpan w:val="2"/>
            <w:tcBorders>
              <w:left w:val="nil"/>
            </w:tcBorders>
            <w:shd w:val="clear" w:color="auto" w:fill="auto"/>
          </w:tcPr>
          <w:p w:rsidR="001C4CBC" w:rsidRPr="00183415" w:rsidRDefault="00A973E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1C4CBC" w:rsidRPr="00183415" w:rsidTr="00076F9D">
        <w:tc>
          <w:tcPr>
            <w:tcW w:w="8802" w:type="dxa"/>
            <w:gridSpan w:val="23"/>
            <w:vMerge/>
            <w:shd w:val="clear" w:color="auto" w:fill="D2EAF1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shd w:val="clear" w:color="auto" w:fill="D2EAF1"/>
          </w:tcPr>
          <w:p w:rsidR="001C4CBC" w:rsidRPr="00183415" w:rsidRDefault="00A973E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1C4CBC">
              <w:rPr>
                <w:rFonts w:ascii="Arial" w:hAnsi="Arial" w:cs="Arial"/>
                <w:b/>
                <w:bCs/>
                <w:sz w:val="20"/>
                <w:szCs w:val="20"/>
              </w:rPr>
              <w:t>0/30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=3,3</w:t>
            </w:r>
          </w:p>
        </w:tc>
      </w:tr>
      <w:tr w:rsidR="001C4CBC" w:rsidRPr="00183415" w:rsidTr="00076F9D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1C4CBC" w:rsidRPr="00183415" w:rsidRDefault="001C4CBC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tcBorders>
              <w:left w:val="nil"/>
            </w:tcBorders>
            <w:shd w:val="clear" w:color="auto" w:fill="auto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1C4CBC" w:rsidRPr="00183415" w:rsidTr="00076F9D">
        <w:tc>
          <w:tcPr>
            <w:tcW w:w="11253" w:type="dxa"/>
            <w:gridSpan w:val="25"/>
            <w:shd w:val="clear" w:color="auto" w:fill="D2EAF1"/>
          </w:tcPr>
          <w:p w:rsidR="001C4CBC" w:rsidRPr="00183415" w:rsidRDefault="001C4CBC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C73E6B" w:rsidRPr="00183415" w:rsidTr="00076F9D">
        <w:tc>
          <w:tcPr>
            <w:tcW w:w="11253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41"/>
              <w:gridCol w:w="5289"/>
            </w:tblGrid>
            <w:tr w:rsidR="00394CC9" w:rsidTr="00394CC9">
              <w:trPr>
                <w:trHeight w:val="80"/>
              </w:trPr>
              <w:tc>
                <w:tcPr>
                  <w:tcW w:w="5241" w:type="dxa"/>
                  <w:noWrap/>
                  <w:vAlign w:val="bottom"/>
                  <w:hideMark/>
                </w:tcPr>
                <w:p w:rsidR="00394CC9" w:rsidRDefault="006C0F8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de-DE" w:eastAsia="de-D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096AEE4" wp14:editId="2FBFFFC6">
                        <wp:extent cx="3009900" cy="2190750"/>
                        <wp:effectExtent l="0" t="0" r="0" b="0"/>
                        <wp:docPr id="1" name="Grafik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noWrap/>
                  <w:vAlign w:val="bottom"/>
                  <w:hideMark/>
                </w:tcPr>
                <w:p w:rsidR="00394CC9" w:rsidRDefault="006C0F8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de-DE" w:eastAsia="de-DE"/>
                    </w:rPr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3009900" cy="2057400"/>
                        <wp:effectExtent l="0" t="0" r="0" b="0"/>
                        <wp:docPr id="2" name="Grafik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73E6B" w:rsidRPr="00183415" w:rsidRDefault="00C73E6B" w:rsidP="00394C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3A83" w:rsidRPr="000E69C6" w:rsidRDefault="00E23A83" w:rsidP="00CF4BD4">
      <w:pPr>
        <w:tabs>
          <w:tab w:val="left" w:pos="360"/>
        </w:tabs>
        <w:rPr>
          <w:rFonts w:ascii="Arial" w:hAnsi="Arial" w:cs="Arial"/>
          <w:color w:val="0000FF"/>
          <w:sz w:val="20"/>
          <w:szCs w:val="20"/>
        </w:rPr>
      </w:pPr>
    </w:p>
    <w:sectPr w:rsidR="00E23A83" w:rsidRPr="000E69C6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321F"/>
    <w:rsid w:val="00012332"/>
    <w:rsid w:val="00021352"/>
    <w:rsid w:val="00037B15"/>
    <w:rsid w:val="0005674F"/>
    <w:rsid w:val="00057FD5"/>
    <w:rsid w:val="0006068D"/>
    <w:rsid w:val="00063D42"/>
    <w:rsid w:val="00076F9D"/>
    <w:rsid w:val="000774F4"/>
    <w:rsid w:val="000A5FAE"/>
    <w:rsid w:val="000B30B0"/>
    <w:rsid w:val="000C40AB"/>
    <w:rsid w:val="000C6613"/>
    <w:rsid w:val="000D19D3"/>
    <w:rsid w:val="000E69C6"/>
    <w:rsid w:val="000F4CDC"/>
    <w:rsid w:val="001202FF"/>
    <w:rsid w:val="00123D5F"/>
    <w:rsid w:val="001419AB"/>
    <w:rsid w:val="00144554"/>
    <w:rsid w:val="001560EF"/>
    <w:rsid w:val="00166C4A"/>
    <w:rsid w:val="001750D8"/>
    <w:rsid w:val="001803AC"/>
    <w:rsid w:val="00183415"/>
    <w:rsid w:val="0019246E"/>
    <w:rsid w:val="00192A01"/>
    <w:rsid w:val="001967BD"/>
    <w:rsid w:val="001B53EF"/>
    <w:rsid w:val="001B62FD"/>
    <w:rsid w:val="001B7FCD"/>
    <w:rsid w:val="001C4CBC"/>
    <w:rsid w:val="001C6087"/>
    <w:rsid w:val="001F01FF"/>
    <w:rsid w:val="001F65E5"/>
    <w:rsid w:val="00202C2E"/>
    <w:rsid w:val="002041C1"/>
    <w:rsid w:val="00232EEA"/>
    <w:rsid w:val="00233823"/>
    <w:rsid w:val="00263026"/>
    <w:rsid w:val="00267874"/>
    <w:rsid w:val="002745D6"/>
    <w:rsid w:val="00275F17"/>
    <w:rsid w:val="0028207E"/>
    <w:rsid w:val="00287565"/>
    <w:rsid w:val="002F188E"/>
    <w:rsid w:val="002F62D1"/>
    <w:rsid w:val="003161B0"/>
    <w:rsid w:val="0033075F"/>
    <w:rsid w:val="00337C4C"/>
    <w:rsid w:val="00343861"/>
    <w:rsid w:val="0034406B"/>
    <w:rsid w:val="00357FCA"/>
    <w:rsid w:val="003677A8"/>
    <w:rsid w:val="0037055A"/>
    <w:rsid w:val="00391239"/>
    <w:rsid w:val="00392060"/>
    <w:rsid w:val="00394CC9"/>
    <w:rsid w:val="003A2BE0"/>
    <w:rsid w:val="003A51F3"/>
    <w:rsid w:val="003A584A"/>
    <w:rsid w:val="003A6538"/>
    <w:rsid w:val="003B0B19"/>
    <w:rsid w:val="003B4493"/>
    <w:rsid w:val="003C6B0D"/>
    <w:rsid w:val="003F4A6E"/>
    <w:rsid w:val="00403A7E"/>
    <w:rsid w:val="004115F0"/>
    <w:rsid w:val="004263CC"/>
    <w:rsid w:val="00435976"/>
    <w:rsid w:val="00460B6C"/>
    <w:rsid w:val="0047730C"/>
    <w:rsid w:val="004A3B4E"/>
    <w:rsid w:val="004A6D32"/>
    <w:rsid w:val="004A7123"/>
    <w:rsid w:val="004B24DF"/>
    <w:rsid w:val="004D549F"/>
    <w:rsid w:val="004E4B45"/>
    <w:rsid w:val="004E4D88"/>
    <w:rsid w:val="005004E3"/>
    <w:rsid w:val="005101B9"/>
    <w:rsid w:val="00533E3E"/>
    <w:rsid w:val="00533FC2"/>
    <w:rsid w:val="005340BE"/>
    <w:rsid w:val="00536CC4"/>
    <w:rsid w:val="005A59C2"/>
    <w:rsid w:val="005A7D52"/>
    <w:rsid w:val="005B70B5"/>
    <w:rsid w:val="005D5C57"/>
    <w:rsid w:val="0061450B"/>
    <w:rsid w:val="00623C98"/>
    <w:rsid w:val="00627D8B"/>
    <w:rsid w:val="00646122"/>
    <w:rsid w:val="006731BD"/>
    <w:rsid w:val="00673E59"/>
    <w:rsid w:val="00680002"/>
    <w:rsid w:val="0068130F"/>
    <w:rsid w:val="006C0F8A"/>
    <w:rsid w:val="006D7B71"/>
    <w:rsid w:val="006D7C02"/>
    <w:rsid w:val="006E3E85"/>
    <w:rsid w:val="006F0927"/>
    <w:rsid w:val="006F12AD"/>
    <w:rsid w:val="006F5F0E"/>
    <w:rsid w:val="00700374"/>
    <w:rsid w:val="007039F3"/>
    <w:rsid w:val="00706A57"/>
    <w:rsid w:val="00732B73"/>
    <w:rsid w:val="007358E5"/>
    <w:rsid w:val="00760D25"/>
    <w:rsid w:val="00776C3E"/>
    <w:rsid w:val="0078175F"/>
    <w:rsid w:val="007861BF"/>
    <w:rsid w:val="00797CE9"/>
    <w:rsid w:val="007B5999"/>
    <w:rsid w:val="007C64A7"/>
    <w:rsid w:val="007D5ACD"/>
    <w:rsid w:val="00826678"/>
    <w:rsid w:val="00846110"/>
    <w:rsid w:val="0086649A"/>
    <w:rsid w:val="008703EE"/>
    <w:rsid w:val="00870E29"/>
    <w:rsid w:val="00874C2E"/>
    <w:rsid w:val="00896B2B"/>
    <w:rsid w:val="008A1BAF"/>
    <w:rsid w:val="008A1D9B"/>
    <w:rsid w:val="008A687B"/>
    <w:rsid w:val="008D4C07"/>
    <w:rsid w:val="008E72F8"/>
    <w:rsid w:val="008F2042"/>
    <w:rsid w:val="0090467E"/>
    <w:rsid w:val="00904D3E"/>
    <w:rsid w:val="0094067E"/>
    <w:rsid w:val="009460F8"/>
    <w:rsid w:val="009639F5"/>
    <w:rsid w:val="00971BE9"/>
    <w:rsid w:val="00991C07"/>
    <w:rsid w:val="009C0B0E"/>
    <w:rsid w:val="009F38B6"/>
    <w:rsid w:val="009F3C1A"/>
    <w:rsid w:val="00A409FF"/>
    <w:rsid w:val="00A45BEB"/>
    <w:rsid w:val="00A46DFB"/>
    <w:rsid w:val="00A80304"/>
    <w:rsid w:val="00A85215"/>
    <w:rsid w:val="00A93749"/>
    <w:rsid w:val="00A973E0"/>
    <w:rsid w:val="00AA2C2C"/>
    <w:rsid w:val="00AA5FE3"/>
    <w:rsid w:val="00AB45DC"/>
    <w:rsid w:val="00AB7BA0"/>
    <w:rsid w:val="00AC1D2C"/>
    <w:rsid w:val="00AC3CA5"/>
    <w:rsid w:val="00AE118D"/>
    <w:rsid w:val="00AF388E"/>
    <w:rsid w:val="00AF77A7"/>
    <w:rsid w:val="00B16EA1"/>
    <w:rsid w:val="00B16EEE"/>
    <w:rsid w:val="00B323AB"/>
    <w:rsid w:val="00B373D7"/>
    <w:rsid w:val="00B67EC9"/>
    <w:rsid w:val="00B821D9"/>
    <w:rsid w:val="00B851E0"/>
    <w:rsid w:val="00BB6CCA"/>
    <w:rsid w:val="00BB7311"/>
    <w:rsid w:val="00BC7F10"/>
    <w:rsid w:val="00BE37AE"/>
    <w:rsid w:val="00BE7BF9"/>
    <w:rsid w:val="00BF5C2B"/>
    <w:rsid w:val="00C0302D"/>
    <w:rsid w:val="00C122DD"/>
    <w:rsid w:val="00C6055E"/>
    <w:rsid w:val="00C73E6B"/>
    <w:rsid w:val="00C76097"/>
    <w:rsid w:val="00C83EBF"/>
    <w:rsid w:val="00C90AB3"/>
    <w:rsid w:val="00CB7348"/>
    <w:rsid w:val="00CD0BCB"/>
    <w:rsid w:val="00CD0DFE"/>
    <w:rsid w:val="00CD5986"/>
    <w:rsid w:val="00CD68D9"/>
    <w:rsid w:val="00CE2097"/>
    <w:rsid w:val="00CE5F65"/>
    <w:rsid w:val="00CE71C6"/>
    <w:rsid w:val="00CF0B03"/>
    <w:rsid w:val="00CF306E"/>
    <w:rsid w:val="00CF4BD4"/>
    <w:rsid w:val="00D019F4"/>
    <w:rsid w:val="00D26C8C"/>
    <w:rsid w:val="00D45313"/>
    <w:rsid w:val="00D57AB0"/>
    <w:rsid w:val="00D57FE5"/>
    <w:rsid w:val="00D607B3"/>
    <w:rsid w:val="00D700E3"/>
    <w:rsid w:val="00D76215"/>
    <w:rsid w:val="00D8397A"/>
    <w:rsid w:val="00D94558"/>
    <w:rsid w:val="00D977B6"/>
    <w:rsid w:val="00DB6A56"/>
    <w:rsid w:val="00DD46DD"/>
    <w:rsid w:val="00DD6C34"/>
    <w:rsid w:val="00DE1F8D"/>
    <w:rsid w:val="00E052D0"/>
    <w:rsid w:val="00E14F1A"/>
    <w:rsid w:val="00E20821"/>
    <w:rsid w:val="00E21C3A"/>
    <w:rsid w:val="00E23A83"/>
    <w:rsid w:val="00E37DF6"/>
    <w:rsid w:val="00E450C3"/>
    <w:rsid w:val="00E52157"/>
    <w:rsid w:val="00E53F65"/>
    <w:rsid w:val="00E67127"/>
    <w:rsid w:val="00E75622"/>
    <w:rsid w:val="00E90470"/>
    <w:rsid w:val="00E91092"/>
    <w:rsid w:val="00EA1C6A"/>
    <w:rsid w:val="00EC636C"/>
    <w:rsid w:val="00EC687F"/>
    <w:rsid w:val="00EC7D0B"/>
    <w:rsid w:val="00ED4C88"/>
    <w:rsid w:val="00EE36B1"/>
    <w:rsid w:val="00EE49AA"/>
    <w:rsid w:val="00EF59CC"/>
    <w:rsid w:val="00EF7F26"/>
    <w:rsid w:val="00F0203C"/>
    <w:rsid w:val="00F337B2"/>
    <w:rsid w:val="00F40908"/>
    <w:rsid w:val="00F47815"/>
    <w:rsid w:val="00F70B80"/>
    <w:rsid w:val="00F76866"/>
    <w:rsid w:val="00F8658D"/>
    <w:rsid w:val="00F94798"/>
    <w:rsid w:val="00FC7D7C"/>
    <w:rsid w:val="00FE5005"/>
    <w:rsid w:val="00FF034B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B851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851E0"/>
    <w:rPr>
      <w:rFonts w:ascii="Tahoma" w:hAnsi="Tahoma" w:cs="Tahoma"/>
      <w:sz w:val="16"/>
      <w:szCs w:val="16"/>
      <w:lang w:val="tr-TR" w:eastAsia="tr-TR"/>
    </w:rPr>
  </w:style>
  <w:style w:type="character" w:styleId="Gl">
    <w:name w:val="Strong"/>
    <w:basedOn w:val="VarsaylanParagrafYazTipi"/>
    <w:uiPriority w:val="22"/>
    <w:qFormat/>
    <w:rsid w:val="005101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B851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851E0"/>
    <w:rPr>
      <w:rFonts w:ascii="Tahoma" w:hAnsi="Tahoma" w:cs="Tahoma"/>
      <w:sz w:val="16"/>
      <w:szCs w:val="16"/>
      <w:lang w:val="tr-TR" w:eastAsia="tr-TR"/>
    </w:rPr>
  </w:style>
  <w:style w:type="character" w:styleId="Gl">
    <w:name w:val="Strong"/>
    <w:basedOn w:val="VarsaylanParagrafYazTipi"/>
    <w:uiPriority w:val="22"/>
    <w:qFormat/>
    <w:rsid w:val="00510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portal.klett-sprachen.de/netzwerka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eldasekendur@cag.edu.t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xportal.klett-sprachen.de/netzwerka2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FALLSEMESTR
FLG</a:t>
            </a:r>
            <a:r>
              <a:rPr lang="tr-TR" baseline="0"/>
              <a:t> 401  GERMAN VII</a:t>
            </a:r>
            <a:endParaRPr lang="tr-TR"/>
          </a:p>
        </c:rich>
      </c:tx>
      <c:layout>
        <c:manualLayout>
          <c:xMode val="edge"/>
          <c:yMode val="edge"/>
          <c:x val="0.27325571188847292"/>
          <c:y val="3.9130382674768392E-2"/>
        </c:manualLayout>
      </c:layout>
      <c:overlay val="0"/>
      <c:spPr>
        <a:noFill/>
        <a:ln w="2542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8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24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8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8</c:v>
                </c:pt>
                <c:pt idx="5">
                  <c:v>5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875456"/>
        <c:axId val="235957056"/>
      </c:barChart>
      <c:catAx>
        <c:axId val="17787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8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5957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595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7875456"/>
        <c:crosses val="autoZero"/>
        <c:crossBetween val="between"/>
      </c:valAx>
      <c:spPr>
        <a:solidFill>
          <a:srgbClr val="FFFFFF"/>
        </a:solidFill>
        <a:ln w="3178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8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FALL </a:t>
            </a:r>
            <a:r>
              <a:rPr lang="tr-TR"/>
              <a:t>SEMESTR
FLG</a:t>
            </a:r>
            <a:r>
              <a:rPr lang="tr-TR" baseline="0"/>
              <a:t> 401/411 GERMAN VII</a:t>
            </a:r>
            <a:endParaRPr lang="tr-TR"/>
          </a:p>
        </c:rich>
      </c:tx>
      <c:layout>
        <c:manualLayout>
          <c:xMode val="edge"/>
          <c:yMode val="edge"/>
          <c:x val="0.27325571188847292"/>
          <c:y val="3.9130401382753983E-2"/>
        </c:manualLayout>
      </c:layout>
      <c:overlay val="0"/>
      <c:spPr>
        <a:noFill/>
        <a:ln w="2543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9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35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9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615808"/>
        <c:axId val="235955904"/>
      </c:barChart>
      <c:catAx>
        <c:axId val="23461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9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5955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5955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4615808"/>
        <c:crosses val="autoZero"/>
        <c:crossBetween val="between"/>
      </c:valAx>
      <c:spPr>
        <a:solidFill>
          <a:srgbClr val="FFFFFF"/>
        </a:solidFill>
        <a:ln w="3179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9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47E8-FE86-4451-BCAF-3F470A03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ÇAĞ UNIVERSITY</vt:lpstr>
      <vt:lpstr>ÇAĞ UNIVERSITY</vt:lpstr>
      <vt:lpstr>ÇAĞ UNIVERSITY</vt:lpstr>
    </vt:vector>
  </TitlesOfParts>
  <Company>Cag University</Company>
  <LinksUpToDate>false</LinksUpToDate>
  <CharactersWithSpaces>5210</CharactersWithSpaces>
  <SharedDoc>false</SharedDoc>
  <HLinks>
    <vt:vector size="12" baseType="variant">
      <vt:variant>
        <vt:i4>786511</vt:i4>
      </vt:variant>
      <vt:variant>
        <vt:i4>3</vt:i4>
      </vt:variant>
      <vt:variant>
        <vt:i4>0</vt:i4>
      </vt:variant>
      <vt:variant>
        <vt:i4>5</vt:i4>
      </vt:variant>
      <vt:variant>
        <vt:lpwstr>http://www.langenscheidt-unterrichtsportal.de/optimal_a_151.html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mailto:fatmamuller@cag.edu.tr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Selda SEKENDUR</cp:lastModifiedBy>
  <cp:revision>18</cp:revision>
  <dcterms:created xsi:type="dcterms:W3CDTF">2019-10-10T17:31:00Z</dcterms:created>
  <dcterms:modified xsi:type="dcterms:W3CDTF">2024-09-23T13:45:00Z</dcterms:modified>
</cp:coreProperties>
</file>