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60"/>
        <w:gridCol w:w="180"/>
        <w:gridCol w:w="370"/>
        <w:gridCol w:w="945"/>
        <w:gridCol w:w="128"/>
        <w:gridCol w:w="77"/>
        <w:gridCol w:w="95"/>
        <w:gridCol w:w="365"/>
        <w:gridCol w:w="10"/>
        <w:gridCol w:w="703"/>
        <w:gridCol w:w="185"/>
        <w:gridCol w:w="190"/>
        <w:gridCol w:w="565"/>
        <w:gridCol w:w="142"/>
        <w:gridCol w:w="8"/>
        <w:gridCol w:w="642"/>
        <w:gridCol w:w="262"/>
        <w:gridCol w:w="870"/>
        <w:gridCol w:w="375"/>
        <w:gridCol w:w="183"/>
        <w:gridCol w:w="21"/>
        <w:gridCol w:w="1077"/>
        <w:gridCol w:w="897"/>
      </w:tblGrid>
      <w:tr w:rsidR="00F32BC4" w:rsidRPr="00183415" w:rsidTr="00FA448E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F32BC4" w:rsidRPr="00183415" w:rsidRDefault="00FE1221" w:rsidP="00FA448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F32BC4" w:rsidRPr="00183415" w:rsidTr="00FA448E">
        <w:trPr>
          <w:gridAfter w:val="3"/>
          <w:wAfter w:w="1995" w:type="dxa"/>
        </w:trPr>
        <w:tc>
          <w:tcPr>
            <w:tcW w:w="4485" w:type="dxa"/>
            <w:gridSpan w:val="8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7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F32BC4" w:rsidRPr="00183415" w:rsidTr="00FA448E">
        <w:trPr>
          <w:gridAfter w:val="3"/>
          <w:wAfter w:w="1995" w:type="dxa"/>
        </w:trPr>
        <w:tc>
          <w:tcPr>
            <w:tcW w:w="4485" w:type="dxa"/>
            <w:gridSpan w:val="8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r w:rsidRPr="00F32BC4">
              <w:rPr>
                <w:rFonts w:ascii="Arial" w:hAnsi="Arial" w:cs="Arial"/>
                <w:b/>
                <w:sz w:val="20"/>
                <w:szCs w:val="20"/>
              </w:rPr>
              <w:t>FLR 202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F32BC4" w:rsidRPr="00183415" w:rsidTr="00FA448E">
        <w:tc>
          <w:tcPr>
            <w:tcW w:w="3240" w:type="dxa"/>
            <w:gridSpan w:val="4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20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F32BC4" w:rsidRPr="00183415" w:rsidTr="00FA448E">
        <w:tc>
          <w:tcPr>
            <w:tcW w:w="3240" w:type="dxa"/>
            <w:gridSpan w:val="4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6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F32BC4" w:rsidRPr="00183415" w:rsidTr="00FA448E">
        <w:tc>
          <w:tcPr>
            <w:tcW w:w="3240" w:type="dxa"/>
            <w:gridSpan w:val="4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20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F32BC4" w:rsidRPr="00183415" w:rsidTr="00FA448E">
        <w:tc>
          <w:tcPr>
            <w:tcW w:w="2130" w:type="dxa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8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5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F32BC4" w:rsidRPr="00183415" w:rsidTr="00FA448E">
        <w:tc>
          <w:tcPr>
            <w:tcW w:w="2130" w:type="dxa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8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5"/>
            <w:shd w:val="clear" w:color="auto" w:fill="D2EAF1"/>
          </w:tcPr>
          <w:p w:rsidR="00F32BC4" w:rsidRPr="002936AA" w:rsidRDefault="00840730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13.20-15.4</w:t>
            </w:r>
            <w:r w:rsidR="00F32B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10.00-12.00        </w:t>
            </w:r>
          </w:p>
        </w:tc>
        <w:tc>
          <w:tcPr>
            <w:tcW w:w="2553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irinakostenceli</w:t>
            </w:r>
            <w:hyperlink r:id="rId6" w:history="1">
              <w:r w:rsidRPr="00E660E1">
                <w:rPr>
                  <w:rStyle w:val="Kpr"/>
                  <w:rFonts w:ascii="Arial" w:hAnsi="Arial" w:cs="Arial"/>
                  <w:sz w:val="20"/>
                  <w:szCs w:val="20"/>
                </w:rPr>
                <w:t>@cag.edu.tr</w:t>
              </w:r>
            </w:hyperlink>
          </w:p>
        </w:tc>
      </w:tr>
      <w:tr w:rsidR="00F32BC4" w:rsidRPr="00183415" w:rsidTr="00FA448E">
        <w:tc>
          <w:tcPr>
            <w:tcW w:w="2130" w:type="dxa"/>
            <w:shd w:val="clear" w:color="auto" w:fill="D2EAF1"/>
          </w:tcPr>
          <w:p w:rsidR="00F32BC4" w:rsidRPr="00183415" w:rsidRDefault="00F32BC4" w:rsidP="00FA448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3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2"/>
          <w:wAfter w:w="1974" w:type="dxa"/>
        </w:trPr>
        <w:tc>
          <w:tcPr>
            <w:tcW w:w="5938" w:type="dxa"/>
            <w:gridSpan w:val="13"/>
            <w:vMerge w:val="restart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9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vMerge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BC4" w:rsidRPr="00183415" w:rsidTr="00FA448E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BC4" w:rsidRPr="00183415" w:rsidTr="00FA448E">
        <w:tc>
          <w:tcPr>
            <w:tcW w:w="10980" w:type="dxa"/>
            <w:gridSpan w:val="24"/>
            <w:shd w:val="clear" w:color="auto" w:fill="auto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C02D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32BC4" w:rsidRPr="00183415" w:rsidRDefault="00F32BC4" w:rsidP="00FA44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c>
          <w:tcPr>
            <w:tcW w:w="10980" w:type="dxa"/>
            <w:gridSpan w:val="2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4D44ED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F32BC4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F32BC4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BC4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CA5">
              <w:rPr>
                <w:rFonts w:ascii="Arial" w:hAnsi="Arial" w:cs="Arial"/>
                <w:b/>
                <w:sz w:val="20"/>
                <w:szCs w:val="20"/>
              </w:rPr>
              <w:t>Unit1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6957E1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verbs.Plural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prepositions.Genetive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8B258D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Appearance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1465D7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imperfective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  <w:p w:rsidR="00F32BC4" w:rsidRPr="00E74FB9" w:rsidRDefault="00F32BC4" w:rsidP="00FA44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292150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tense.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654BAF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654BAF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E83F5E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E83F5E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Expression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age.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126D43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–K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F32BC4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CA5">
              <w:rPr>
                <w:rFonts w:ascii="Arial" w:hAnsi="Arial" w:cs="Arial"/>
                <w:b/>
                <w:sz w:val="20"/>
                <w:szCs w:val="20"/>
              </w:rPr>
              <w:t>Unit2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6AA">
              <w:rPr>
                <w:rFonts w:ascii="Arial" w:hAnsi="Arial" w:cs="Arial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126D43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İnstrumental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F82B11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Conjuction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therefore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F82B11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Conjuction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what,where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,how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F32BC4" w:rsidRPr="002936AA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>Puzzle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Matching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F32BC4" w:rsidRPr="00F82B11" w:rsidRDefault="00F32BC4" w:rsidP="00FA4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F32BC4" w:rsidRPr="00183415" w:rsidTr="00FA448E">
        <w:tc>
          <w:tcPr>
            <w:tcW w:w="10980" w:type="dxa"/>
            <w:gridSpan w:val="2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F32BC4" w:rsidRPr="00CA3BC3" w:rsidTr="00FA448E"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22"/>
            <w:tcBorders>
              <w:left w:val="nil"/>
            </w:tcBorders>
            <w:shd w:val="clear" w:color="auto" w:fill="auto"/>
          </w:tcPr>
          <w:p w:rsidR="00F32BC4" w:rsidRPr="00CA3BC3" w:rsidRDefault="00840730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1.1,STANİSLAV ÇERNIŞOV,ZLATOUST,2022</w:t>
            </w:r>
          </w:p>
        </w:tc>
      </w:tr>
      <w:tr w:rsidR="00F32BC4" w:rsidRPr="00183415" w:rsidTr="00FA448E">
        <w:tc>
          <w:tcPr>
            <w:tcW w:w="2690" w:type="dxa"/>
            <w:gridSpan w:val="2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22"/>
            <w:shd w:val="clear" w:color="auto" w:fill="D2EAF1"/>
          </w:tcPr>
          <w:p w:rsidR="00F32BC4" w:rsidRPr="00183415" w:rsidRDefault="000A7B72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F32BC4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F3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BC4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F3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BC4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F32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BC4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F32BC4" w:rsidRPr="00183415" w:rsidTr="00FA448E"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22"/>
            <w:tcBorders>
              <w:left w:val="nil"/>
            </w:tcBorders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F32BC4" w:rsidRPr="00183415" w:rsidTr="00FA448E">
        <w:tc>
          <w:tcPr>
            <w:tcW w:w="10980" w:type="dxa"/>
            <w:gridSpan w:val="2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F32BC4" w:rsidRPr="00183415" w:rsidTr="00FA448E">
        <w:tc>
          <w:tcPr>
            <w:tcW w:w="2870" w:type="dxa"/>
            <w:gridSpan w:val="3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3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F32BC4" w:rsidRPr="00183415" w:rsidTr="00FA448E">
        <w:tc>
          <w:tcPr>
            <w:tcW w:w="2870" w:type="dxa"/>
            <w:gridSpan w:val="3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c>
          <w:tcPr>
            <w:tcW w:w="2870" w:type="dxa"/>
            <w:gridSpan w:val="3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3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c>
          <w:tcPr>
            <w:tcW w:w="2870" w:type="dxa"/>
            <w:gridSpan w:val="3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32BC4" w:rsidRPr="00183415" w:rsidTr="00FA448E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</w:tr>
      <w:tr w:rsidR="00F32BC4" w:rsidRPr="00183415" w:rsidTr="00FA448E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7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32BC4" w:rsidRPr="00183415" w:rsidTr="00FA448E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32BC4" w:rsidRPr="00183415" w:rsidTr="00FA448E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32BC4" w:rsidRPr="00183415" w:rsidTr="00FA448E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32BC4" w:rsidRPr="00183415" w:rsidTr="00FA448E">
        <w:trPr>
          <w:gridAfter w:val="4"/>
          <w:wAfter w:w="2178" w:type="dxa"/>
          <w:trHeight w:val="230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F32BC4" w:rsidRPr="00183415" w:rsidRDefault="00F32BC4" w:rsidP="00FA4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F32BC4" w:rsidRPr="00183415" w:rsidRDefault="00F32BC4" w:rsidP="00FA4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F32BC4" w:rsidRPr="00183415" w:rsidRDefault="00F32BC4" w:rsidP="00FA4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</w:tr>
      <w:tr w:rsidR="00F32BC4" w:rsidRPr="00183415" w:rsidTr="00FA448E">
        <w:trPr>
          <w:gridAfter w:val="4"/>
          <w:wAfter w:w="2178" w:type="dxa"/>
          <w:trHeight w:val="230"/>
        </w:trPr>
        <w:tc>
          <w:tcPr>
            <w:tcW w:w="8802" w:type="dxa"/>
            <w:gridSpan w:val="20"/>
            <w:vMerge/>
            <w:shd w:val="clear" w:color="auto" w:fill="D2EAF1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rPr>
          <w:gridAfter w:val="4"/>
          <w:wAfter w:w="2178" w:type="dxa"/>
          <w:trHeight w:val="230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F32BC4" w:rsidRPr="00183415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c>
          <w:tcPr>
            <w:tcW w:w="10980" w:type="dxa"/>
            <w:gridSpan w:val="24"/>
            <w:shd w:val="clear" w:color="auto" w:fill="D2EAF1"/>
          </w:tcPr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F32BC4" w:rsidRPr="00183415" w:rsidTr="00FA448E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4"/>
            <w:shd w:val="clear" w:color="auto" w:fill="D2EAF1"/>
          </w:tcPr>
          <w:p w:rsidR="00F32BC4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 </w:t>
            </w:r>
          </w:p>
          <w:p w:rsidR="00F32BC4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BC4" w:rsidRDefault="00F32BC4" w:rsidP="00FA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BC4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BC4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98851" cy="2007870"/>
                  <wp:effectExtent l="0" t="0" r="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98851" cy="2007870"/>
                  <wp:effectExtent l="0" t="0" r="0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BC4" w:rsidRPr="00183415" w:rsidTr="00FA448E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F32BC4" w:rsidRPr="000E69C6" w:rsidTr="00FA448E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2BC4" w:rsidRPr="00784142" w:rsidRDefault="00F32BC4" w:rsidP="00FA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2BC4" w:rsidRPr="00784142" w:rsidRDefault="00F32BC4" w:rsidP="00FA4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2BC4" w:rsidRPr="000E69C6" w:rsidTr="00FA448E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2BC4" w:rsidRPr="001F65E5" w:rsidRDefault="00F32BC4" w:rsidP="00FA4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2BC4" w:rsidRPr="001F65E5" w:rsidRDefault="00F32BC4" w:rsidP="00FA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2BC4" w:rsidRPr="001F65E5" w:rsidRDefault="00F32BC4" w:rsidP="00FA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2BC4" w:rsidRPr="00183415" w:rsidRDefault="00F32BC4" w:rsidP="00FA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90F82" w:rsidRDefault="00D90F82"/>
    <w:sectPr w:rsidR="00D90F82" w:rsidSect="00D9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BC4"/>
    <w:rsid w:val="000A7B72"/>
    <w:rsid w:val="00840730"/>
    <w:rsid w:val="00D90F82"/>
    <w:rsid w:val="00F32BC4"/>
    <w:rsid w:val="00FE1221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32BC4"/>
  </w:style>
  <w:style w:type="character" w:styleId="Kpr">
    <w:name w:val="Hyperlink"/>
    <w:rsid w:val="00F32BC4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B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BC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learnruss&#305;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linbatman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tr-TR" baseline="0"/>
              <a:t>2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441986418364369"/>
          <c:y val="8.34431512000278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214656"/>
        <c:axId val="128318208"/>
      </c:barChart>
      <c:catAx>
        <c:axId val="1902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8318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3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02146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92"/>
          <c:y val="8.33640581657151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71040"/>
        <c:axId val="130026304"/>
      </c:barChart>
      <c:catAx>
        <c:axId val="1540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002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0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0710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1CE7-407A-4116-922D-ED0A5C6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5</cp:revision>
  <dcterms:created xsi:type="dcterms:W3CDTF">2022-04-12T10:11:00Z</dcterms:created>
  <dcterms:modified xsi:type="dcterms:W3CDTF">2023-10-10T12:21:00Z</dcterms:modified>
</cp:coreProperties>
</file>