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C43BBB" w:rsidRPr="00183415" w:rsidTr="00172610">
        <w:trPr>
          <w:trHeight w:val="550"/>
        </w:trPr>
        <w:tc>
          <w:tcPr>
            <w:tcW w:w="10980" w:type="dxa"/>
            <w:gridSpan w:val="24"/>
            <w:shd w:val="clear" w:color="auto" w:fill="4BACC6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ARTS AND</w:t>
            </w: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C43BBB" w:rsidRPr="00183415" w:rsidTr="00172610">
        <w:tc>
          <w:tcPr>
            <w:tcW w:w="1995" w:type="dxa"/>
            <w:gridSpan w:val="4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43BBB" w:rsidTr="00172610">
        <w:tc>
          <w:tcPr>
            <w:tcW w:w="1995" w:type="dxa"/>
            <w:gridSpan w:val="4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FLF 302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C43BBB" w:rsidRPr="00991C07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French</w:t>
            </w: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</w:p>
        </w:tc>
        <w:tc>
          <w:tcPr>
            <w:tcW w:w="2160" w:type="dxa"/>
            <w:gridSpan w:val="5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</w:tcPr>
          <w:p w:rsidR="00C43BBB" w:rsidRPr="0061450B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43BBB" w:rsidTr="00172610">
        <w:tc>
          <w:tcPr>
            <w:tcW w:w="3240" w:type="dxa"/>
            <w:gridSpan w:val="8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shd w:val="clear" w:color="auto" w:fill="D2EAF1"/>
          </w:tcPr>
          <w:p w:rsidR="00C43BBB" w:rsidRPr="00C82598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101/102/201/202/</w:t>
            </w:r>
            <w:r w:rsidRPr="00C82598">
              <w:rPr>
                <w:rFonts w:ascii="Arial" w:hAnsi="Arial" w:cs="Arial"/>
                <w:b/>
                <w:sz w:val="20"/>
                <w:szCs w:val="20"/>
                <w:lang w:val="de-DE"/>
              </w:rPr>
              <w:t>301</w:t>
            </w:r>
          </w:p>
        </w:tc>
      </w:tr>
      <w:tr w:rsidR="00C43BBB" w:rsidRPr="00183415" w:rsidTr="00172610">
        <w:tc>
          <w:tcPr>
            <w:tcW w:w="3240" w:type="dxa"/>
            <w:gridSpan w:val="8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2435" w:type="dxa"/>
            <w:gridSpan w:val="6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C43BBB" w:rsidRPr="00183415" w:rsidTr="00172610">
        <w:tc>
          <w:tcPr>
            <w:tcW w:w="3240" w:type="dxa"/>
            <w:gridSpan w:val="8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C43BBB" w:rsidRPr="0061450B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/3.Year Spring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C43BBB" w:rsidRPr="000633BD" w:rsidTr="00172610">
        <w:tc>
          <w:tcPr>
            <w:tcW w:w="2130" w:type="dxa"/>
            <w:gridSpan w:val="5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C43BBB" w:rsidRPr="00183415" w:rsidTr="00172610">
        <w:tc>
          <w:tcPr>
            <w:tcW w:w="2130" w:type="dxa"/>
            <w:gridSpan w:val="5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CLEMENCON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C43BBB" w:rsidRPr="00EE36B1" w:rsidRDefault="00C43BBB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Wednesday.</w:t>
            </w: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09.40–12.30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Monday.14.00-</w:t>
            </w:r>
          </w:p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43BBB" w:rsidRPr="00012332" w:rsidRDefault="00C43BBB" w:rsidP="001726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christelleclemencon</w:t>
            </w:r>
            <w:hyperlink r:id="rId5" w:history="1">
              <w:r w:rsidRPr="003A2577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@cag.edu.tr</w:t>
              </w:r>
            </w:hyperlink>
            <w:r w:rsidRPr="00012332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C43BBB" w:rsidRPr="00183415" w:rsidTr="00172610">
        <w:tc>
          <w:tcPr>
            <w:tcW w:w="2130" w:type="dxa"/>
            <w:gridSpan w:val="5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3BBB" w:rsidRPr="00183415" w:rsidTr="00172610">
        <w:tc>
          <w:tcPr>
            <w:tcW w:w="2130" w:type="dxa"/>
            <w:gridSpan w:val="5"/>
            <w:shd w:val="clear" w:color="auto" w:fill="D2EAF1"/>
          </w:tcPr>
          <w:p w:rsidR="00C43BBB" w:rsidRPr="00183415" w:rsidRDefault="00C43BBB" w:rsidP="0017261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C43BBB" w:rsidRPr="001750D8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E2C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French. At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paraphrase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helps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exactly</w:t>
            </w:r>
            <w:proofErr w:type="spellEnd"/>
          </w:p>
        </w:tc>
      </w:tr>
      <w:tr w:rsidR="00C43BBB" w:rsidTr="00172610">
        <w:tc>
          <w:tcPr>
            <w:tcW w:w="1281" w:type="dxa"/>
            <w:gridSpan w:val="2"/>
            <w:vMerge w:val="restart"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068" w:type="dxa"/>
            <w:gridSpan w:val="4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C43BBB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C43BBB" w:rsidTr="00172610">
        <w:tc>
          <w:tcPr>
            <w:tcW w:w="1281" w:type="dxa"/>
            <w:gridSpan w:val="2"/>
            <w:vMerge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experiences, feelings and events in detail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43BBB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the main points of clear standard input on familiar matters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43BBB" w:rsidTr="00172610">
        <w:tc>
          <w:tcPr>
            <w:tcW w:w="1281" w:type="dxa"/>
            <w:gridSpan w:val="2"/>
            <w:vMerge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</w:tcPr>
          <w:p w:rsidR="00C43BBB" w:rsidRDefault="00C43BBB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rewrite simple personal letters on everyday topics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43BBB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43BBB" w:rsidRDefault="00C43BBB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evaluate in face-to-face conversation on topics that are familiar or of personal interest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43BBB" w:rsidTr="00172610">
        <w:tc>
          <w:tcPr>
            <w:tcW w:w="1281" w:type="dxa"/>
            <w:gridSpan w:val="2"/>
            <w:vMerge/>
            <w:textDirection w:val="btLr"/>
          </w:tcPr>
          <w:p w:rsidR="00C43BBB" w:rsidRPr="00183415" w:rsidRDefault="00C43BBB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</w:tcPr>
          <w:p w:rsidR="00C43BBB" w:rsidRDefault="00C43BBB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use a series of phrases and sentences to describe in simple terms familiar matters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43BBB" w:rsidRPr="00183415" w:rsidTr="00172610">
        <w:tc>
          <w:tcPr>
            <w:tcW w:w="10980" w:type="dxa"/>
            <w:gridSpan w:val="24"/>
          </w:tcPr>
          <w:p w:rsidR="00C43BBB" w:rsidRPr="00183415" w:rsidRDefault="00C43BBB" w:rsidP="001726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3BBB" w:rsidRPr="00183415" w:rsidTr="00172610">
        <w:tc>
          <w:tcPr>
            <w:tcW w:w="10980" w:type="dxa"/>
            <w:gridSpan w:val="2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C43BBB" w:rsidRPr="00183415" w:rsidTr="00172610"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5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C43BBB" w:rsidRPr="00183415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analyser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fait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société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dans un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texte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écrit</w:t>
            </w:r>
            <w:proofErr w:type="spellEnd"/>
          </w:p>
          <w:p w:rsidR="00C43BBB" w:rsidRPr="003C5716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</w:p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F6752E">
              <w:rPr>
                <w:rFonts w:ascii="Arial" w:hAnsi="Arial" w:cs="Arial"/>
                <w:b/>
                <w:sz w:val="20"/>
                <w:szCs w:val="20"/>
              </w:rPr>
              <w:t>Unit11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7E2C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</w:p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</w:p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exprimer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le but</w:t>
            </w:r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  <w:gridSpan w:val="5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</w:p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C43BBB" w:rsidRPr="003C5716" w:rsidRDefault="00C43BBB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Exprimer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l’appréciation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“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897" w:type="dxa"/>
          </w:tcPr>
          <w:p w:rsidR="00C43BBB" w:rsidRPr="0070071F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7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7E2C">
              <w:rPr>
                <w:rFonts w:ascii="Arial" w:hAnsi="Arial" w:cs="Arial"/>
                <w:sz w:val="20"/>
                <w:szCs w:val="20"/>
              </w:rPr>
              <w:t>Demander,donner</w:t>
            </w:r>
            <w:proofErr w:type="spellEnd"/>
            <w:proofErr w:type="gramEnd"/>
            <w:r w:rsidRPr="00097E2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refuser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conseils</w:t>
            </w:r>
            <w:proofErr w:type="spellEnd"/>
          </w:p>
          <w:p w:rsidR="00C43BBB" w:rsidRPr="003C5716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</w:tcPr>
          <w:p w:rsidR="00C43BBB" w:rsidRPr="00D607B3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C43BBB" w:rsidRPr="008048FF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Quelqu’un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quelque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chose</w:t>
            </w:r>
            <w:proofErr w:type="spellEnd"/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CB75CD" w:rsidRDefault="00C43BBB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C43BBB" w:rsidRPr="00183415" w:rsidTr="00172610"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7E2C">
              <w:rPr>
                <w:rFonts w:ascii="Arial" w:hAnsi="Arial" w:cs="Arial"/>
                <w:sz w:val="20"/>
                <w:szCs w:val="20"/>
              </w:rPr>
              <w:t>Ne…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personne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>, ne</w:t>
            </w:r>
            <w:proofErr w:type="gramStart"/>
            <w:r w:rsidRPr="00097E2C">
              <w:rPr>
                <w:rFonts w:ascii="Arial" w:hAnsi="Arial" w:cs="Arial"/>
                <w:sz w:val="20"/>
                <w:szCs w:val="20"/>
              </w:rPr>
              <w:t>…..</w:t>
            </w:r>
            <w:proofErr w:type="spellStart"/>
            <w:proofErr w:type="gramEnd"/>
            <w:r w:rsidRPr="00097E2C">
              <w:rPr>
                <w:rFonts w:ascii="Arial" w:hAnsi="Arial" w:cs="Arial"/>
                <w:sz w:val="20"/>
                <w:szCs w:val="20"/>
              </w:rPr>
              <w:t>rien</w:t>
            </w:r>
            <w:proofErr w:type="spellEnd"/>
          </w:p>
        </w:tc>
        <w:tc>
          <w:tcPr>
            <w:tcW w:w="2340" w:type="dxa"/>
            <w:gridSpan w:val="6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</w:tcPr>
          <w:p w:rsidR="00C43BBB" w:rsidRPr="009E12BA" w:rsidRDefault="00C43BBB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C43BBB" w:rsidRPr="00183415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97E2C">
              <w:rPr>
                <w:rFonts w:ascii="Arial" w:hAnsi="Arial" w:cs="Arial"/>
                <w:sz w:val="20"/>
                <w:szCs w:val="20"/>
                <w:lang w:val="fr-FR"/>
              </w:rPr>
              <w:t xml:space="preserve">Les pronoms personnels COI :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  <w:lang w:val="fr-FR"/>
              </w:rPr>
              <w:t>lui</w:t>
            </w:r>
            <w:proofErr w:type="gramStart"/>
            <w:r w:rsidRPr="00097E2C">
              <w:rPr>
                <w:rFonts w:ascii="Arial" w:hAnsi="Arial" w:cs="Arial"/>
                <w:sz w:val="20"/>
                <w:szCs w:val="20"/>
                <w:lang w:val="fr-FR"/>
              </w:rPr>
              <w:t>,leur</w:t>
            </w:r>
            <w:proofErr w:type="spellEnd"/>
            <w:proofErr w:type="gramEnd"/>
            <w:r w:rsidRPr="00097E2C"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3BBB" w:rsidRPr="00D607B3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0633BD" w:rsidTr="00172610"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3C5716" w:rsidRDefault="00C43BBB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E2C">
              <w:rPr>
                <w:rFonts w:ascii="Arial" w:hAnsi="Arial" w:cs="Arial"/>
                <w:sz w:val="20"/>
                <w:szCs w:val="20"/>
              </w:rPr>
              <w:t>plaire,écrire</w:t>
            </w:r>
            <w:proofErr w:type="spellEnd"/>
            <w:proofErr w:type="gram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vivre,envoyer</w:t>
            </w:r>
            <w:proofErr w:type="spellEnd"/>
          </w:p>
        </w:tc>
        <w:tc>
          <w:tcPr>
            <w:tcW w:w="2340" w:type="dxa"/>
            <w:gridSpan w:val="6"/>
          </w:tcPr>
          <w:p w:rsidR="00C43BBB" w:rsidRPr="00413443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3BBB" w:rsidRPr="00413443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43BBB" w:rsidRPr="00D607B3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0633BD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97E2C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futur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proche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aller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infinitive</w:t>
            </w:r>
            <w:proofErr w:type="spellEnd"/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43BBB" w:rsidRPr="00F3210D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E0E4D">
              <w:rPr>
                <w:rFonts w:ascii="Arial" w:hAnsi="Arial" w:cs="Arial"/>
                <w:b/>
                <w:sz w:val="20"/>
                <w:szCs w:val="20"/>
              </w:rPr>
              <w:t>Unit12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3BBB" w:rsidRPr="007A7DAB" w:rsidRDefault="00C43BBB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3BBB" w:rsidRPr="000633BD" w:rsidTr="00172610"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7E2C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superlative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l’adjectif</w:t>
            </w:r>
            <w:proofErr w:type="spellEnd"/>
          </w:p>
        </w:tc>
        <w:tc>
          <w:tcPr>
            <w:tcW w:w="2340" w:type="dxa"/>
            <w:gridSpan w:val="6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3BBB" w:rsidRPr="00D607B3" w:rsidRDefault="00C43BBB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3BBB" w:rsidRPr="000633BD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7E2C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futur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Simple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43BBB" w:rsidRPr="006F0256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7A7DAB" w:rsidRDefault="00C43BBB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43BBB" w:rsidRPr="000633BD" w:rsidTr="00172610">
        <w:trPr>
          <w:trHeight w:val="650"/>
        </w:trPr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97E2C">
              <w:rPr>
                <w:rFonts w:ascii="Arial" w:hAnsi="Arial" w:cs="Arial"/>
                <w:sz w:val="20"/>
                <w:szCs w:val="20"/>
                <w:lang w:val="fr-FR"/>
              </w:rPr>
              <w:t>L’interrogation préposition</w:t>
            </w:r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43BBB" w:rsidRPr="00FA3F04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</w:tcPr>
          <w:p w:rsidR="00C43BBB" w:rsidRPr="00233823" w:rsidRDefault="00C43BBB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43BBB" w:rsidRPr="000633BD" w:rsidTr="00172610">
        <w:tc>
          <w:tcPr>
            <w:tcW w:w="897" w:type="dxa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C43BBB" w:rsidRPr="00D607B3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C43BBB" w:rsidRPr="000633BD" w:rsidTr="00172610">
        <w:tc>
          <w:tcPr>
            <w:tcW w:w="897" w:type="dxa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43BBB" w:rsidRPr="00097E2C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  <w:p w:rsidR="00C43BBB" w:rsidRPr="00183415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43BBB" w:rsidRPr="00183415" w:rsidRDefault="00C43BBB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C43BBB" w:rsidRPr="00D607B3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C43BBB" w:rsidRPr="00183415" w:rsidTr="00172610">
        <w:tc>
          <w:tcPr>
            <w:tcW w:w="10980" w:type="dxa"/>
            <w:gridSpan w:val="2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43BBB" w:rsidTr="00172610">
        <w:tc>
          <w:tcPr>
            <w:tcW w:w="2690" w:type="dxa"/>
            <w:gridSpan w:val="6"/>
            <w:tcBorders>
              <w:right w:val="nil"/>
            </w:tcBorders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C43BBB" w:rsidRPr="00CB7348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AlterEgo,2010</w:t>
            </w:r>
          </w:p>
        </w:tc>
      </w:tr>
      <w:tr w:rsidR="00C43BBB" w:rsidTr="00172610">
        <w:tc>
          <w:tcPr>
            <w:tcW w:w="2690" w:type="dxa"/>
            <w:gridSpan w:val="6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290" w:type="dxa"/>
            <w:gridSpan w:val="18"/>
            <w:shd w:val="clear" w:color="auto" w:fill="D2EAF1"/>
          </w:tcPr>
          <w:p w:rsidR="00C43BBB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newspaper</w:t>
            </w:r>
            <w:proofErr w:type="spellEnd"/>
          </w:p>
          <w:p w:rsidR="00C43BBB" w:rsidRPr="009C17D4" w:rsidRDefault="00C43BBB" w:rsidP="0017261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E0A66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Pr="00CE0A66">
                <w:rPr>
                  <w:rStyle w:val="Hyperlink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C37AB2">
              <w:rPr>
                <w:rStyle w:val="Hyperlink"/>
                <w:rFonts w:ascii="Arial" w:hAnsi="Arial" w:cs="Arial"/>
                <w:sz w:val="20"/>
                <w:szCs w:val="20"/>
              </w:rPr>
              <w:t>www.lepointdufle.net</w:t>
            </w:r>
          </w:p>
        </w:tc>
      </w:tr>
      <w:tr w:rsidR="00C43BBB" w:rsidTr="00172610">
        <w:tc>
          <w:tcPr>
            <w:tcW w:w="2690" w:type="dxa"/>
            <w:gridSpan w:val="6"/>
            <w:tcBorders>
              <w:right w:val="nil"/>
            </w:tcBorders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97E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7E2C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C43BBB" w:rsidRPr="00183415" w:rsidTr="00172610">
        <w:tc>
          <w:tcPr>
            <w:tcW w:w="10980" w:type="dxa"/>
            <w:gridSpan w:val="2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43BBB" w:rsidRPr="00183415" w:rsidTr="00172610">
        <w:tc>
          <w:tcPr>
            <w:tcW w:w="2870" w:type="dxa"/>
            <w:gridSpan w:val="7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C43BBB" w:rsidRPr="00183415" w:rsidTr="00172610">
        <w:tc>
          <w:tcPr>
            <w:tcW w:w="2870" w:type="dxa"/>
            <w:gridSpan w:val="7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2870" w:type="dxa"/>
            <w:gridSpan w:val="7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17" w:type="dxa"/>
            <w:gridSpan w:val="10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2870" w:type="dxa"/>
            <w:gridSpan w:val="7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2870" w:type="dxa"/>
            <w:gridSpan w:val="7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c>
          <w:tcPr>
            <w:tcW w:w="2870" w:type="dxa"/>
            <w:gridSpan w:val="7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BBB" w:rsidRPr="00183415" w:rsidTr="00172610">
        <w:trPr>
          <w:trHeight w:val="70"/>
        </w:trPr>
        <w:tc>
          <w:tcPr>
            <w:tcW w:w="10980" w:type="dxa"/>
            <w:gridSpan w:val="24"/>
          </w:tcPr>
          <w:p w:rsidR="00C43BBB" w:rsidRPr="00117CB8" w:rsidRDefault="00C43BBB" w:rsidP="0017261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43BBB" w:rsidRPr="00183415" w:rsidTr="00172610">
        <w:tc>
          <w:tcPr>
            <w:tcW w:w="4185" w:type="dxa"/>
            <w:gridSpan w:val="9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43BBB" w:rsidRPr="00183415" w:rsidTr="00172610">
        <w:tc>
          <w:tcPr>
            <w:tcW w:w="4185" w:type="dxa"/>
            <w:gridSpan w:val="9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43BBB" w:rsidRPr="00183415" w:rsidTr="00172610">
        <w:tc>
          <w:tcPr>
            <w:tcW w:w="4185" w:type="dxa"/>
            <w:gridSpan w:val="9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C43BBB" w:rsidRPr="00183415" w:rsidTr="00172610">
        <w:tc>
          <w:tcPr>
            <w:tcW w:w="4185" w:type="dxa"/>
            <w:gridSpan w:val="9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43BBB" w:rsidRPr="00183415" w:rsidTr="00172610">
        <w:tc>
          <w:tcPr>
            <w:tcW w:w="4185" w:type="dxa"/>
            <w:gridSpan w:val="9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C43BBB" w:rsidRPr="00183415" w:rsidTr="00172610">
        <w:tc>
          <w:tcPr>
            <w:tcW w:w="4185" w:type="dxa"/>
            <w:gridSpan w:val="9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43BBB" w:rsidRPr="00183415" w:rsidTr="00172610">
        <w:tc>
          <w:tcPr>
            <w:tcW w:w="4185" w:type="dxa"/>
            <w:gridSpan w:val="9"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C43BBB" w:rsidRPr="00183415" w:rsidTr="00172610"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C43BBB" w:rsidRPr="00183415" w:rsidRDefault="00C43BBB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C43BBB" w:rsidRPr="00183415" w:rsidRDefault="00C43BBB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C43BBB" w:rsidRPr="00183415" w:rsidRDefault="00C43BBB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</w:tr>
      <w:tr w:rsidR="00C43BBB" w:rsidRPr="00183415" w:rsidTr="00172610">
        <w:tc>
          <w:tcPr>
            <w:tcW w:w="8802" w:type="dxa"/>
            <w:gridSpan w:val="22"/>
            <w:vMerge/>
            <w:shd w:val="clear" w:color="auto" w:fill="D2EAF1"/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90/30</w:t>
            </w:r>
          </w:p>
        </w:tc>
      </w:tr>
      <w:tr w:rsidR="00C43BBB" w:rsidRPr="00183415" w:rsidTr="00172610">
        <w:tc>
          <w:tcPr>
            <w:tcW w:w="8802" w:type="dxa"/>
            <w:gridSpan w:val="22"/>
            <w:vMerge/>
            <w:tcBorders>
              <w:right w:val="nil"/>
            </w:tcBorders>
          </w:tcPr>
          <w:p w:rsidR="00C43BBB" w:rsidRPr="00183415" w:rsidRDefault="00C43BBB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43BBB" w:rsidRPr="00183415" w:rsidTr="00172610">
        <w:tc>
          <w:tcPr>
            <w:tcW w:w="10980" w:type="dxa"/>
            <w:gridSpan w:val="24"/>
            <w:shd w:val="clear" w:color="auto" w:fill="D2EAF1"/>
          </w:tcPr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43BBB" w:rsidRPr="00183415" w:rsidTr="00172610">
        <w:trPr>
          <w:trHeight w:val="35"/>
        </w:trPr>
        <w:tc>
          <w:tcPr>
            <w:tcW w:w="10980" w:type="dxa"/>
            <w:gridSpan w:val="24"/>
            <w:tcBorders>
              <w:top w:val="double" w:sz="6" w:space="0" w:color="78C0D4"/>
            </w:tcBorders>
          </w:tcPr>
          <w:tbl>
            <w:tblPr>
              <w:tblW w:w="104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7"/>
              <w:gridCol w:w="5244"/>
            </w:tblGrid>
            <w:tr w:rsidR="00C43BBB" w:rsidRPr="000E69C6" w:rsidTr="00172610">
              <w:trPr>
                <w:trHeight w:val="167"/>
              </w:trPr>
              <w:tc>
                <w:tcPr>
                  <w:tcW w:w="5197" w:type="dxa"/>
                  <w:noWrap/>
                  <w:vAlign w:val="bottom"/>
                </w:tcPr>
                <w:p w:rsidR="00C43BBB" w:rsidRPr="00D16ADC" w:rsidRDefault="00C43BBB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5244" w:type="dxa"/>
                  <w:noWrap/>
                  <w:vAlign w:val="bottom"/>
                </w:tcPr>
                <w:p w:rsidR="00C43BBB" w:rsidRPr="00D16ADC" w:rsidRDefault="00C43BBB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C43BBB" w:rsidRPr="000E69C6" w:rsidTr="00172610">
              <w:trPr>
                <w:trHeight w:val="167"/>
              </w:trPr>
              <w:tc>
                <w:tcPr>
                  <w:tcW w:w="5197" w:type="dxa"/>
                  <w:noWrap/>
                  <w:vAlign w:val="bottom"/>
                </w:tcPr>
                <w:p w:rsidR="00C43BBB" w:rsidRDefault="00C43BBB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19300"/>
                        <wp:effectExtent l="0" t="0" r="0" b="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4" w:type="dxa"/>
                  <w:noWrap/>
                  <w:vAlign w:val="bottom"/>
                </w:tcPr>
                <w:p w:rsidR="00C43BBB" w:rsidRPr="000E69C6" w:rsidRDefault="00C43BBB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9450" cy="2038350"/>
                        <wp:effectExtent l="0" t="0" r="0" b="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3BBB" w:rsidRPr="00183415" w:rsidRDefault="00C43BBB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BBB" w:rsidRPr="00117CB8" w:rsidRDefault="00C43BBB" w:rsidP="00C43BBB">
      <w:pPr>
        <w:tabs>
          <w:tab w:val="left" w:pos="360"/>
        </w:tabs>
        <w:rPr>
          <w:rFonts w:ascii="Arial" w:hAnsi="Arial" w:cs="Arial"/>
          <w:sz w:val="2"/>
          <w:szCs w:val="2"/>
        </w:rPr>
      </w:pPr>
    </w:p>
    <w:p w:rsidR="008356C4" w:rsidRDefault="008356C4">
      <w:bookmarkStart w:id="0" w:name="_GoBack"/>
      <w:bookmarkEnd w:id="0"/>
    </w:p>
    <w:sectPr w:rsidR="008356C4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BB"/>
    <w:rsid w:val="008356C4"/>
    <w:rsid w:val="00C4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uiPriority w:val="99"/>
    <w:rsid w:val="00C43BBB"/>
    <w:rPr>
      <w:rFonts w:cs="Times New Roman"/>
    </w:rPr>
  </w:style>
  <w:style w:type="character" w:styleId="Hyperlink">
    <w:name w:val="Hyperlink"/>
    <w:uiPriority w:val="99"/>
    <w:rsid w:val="00C43BBB"/>
    <w:rPr>
      <w:rFonts w:cs="Times New Roman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B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uiPriority w:val="99"/>
    <w:rsid w:val="00C43BBB"/>
    <w:rPr>
      <w:rFonts w:cs="Times New Roman"/>
    </w:rPr>
  </w:style>
  <w:style w:type="character" w:styleId="Hyperlink">
    <w:name w:val="Hyperlink"/>
    <w:uiPriority w:val="99"/>
    <w:rsid w:val="00C43BBB"/>
    <w:rPr>
      <w:rFonts w:cs="Times New Roman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B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</a:t>
            </a:r>
            <a:r>
              <a:rPr lang="tr-TR" baseline="0"/>
              <a:t> SPRING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323008"/>
        <c:axId val="292447936"/>
      </c:barChart>
      <c:catAx>
        <c:axId val="19332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9244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244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3323008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2017-18 Spring Semester
French II</a:t>
            </a:r>
          </a:p>
        </c:rich>
      </c:tx>
      <c:layout>
        <c:manualLayout>
          <c:xMode val="edge"/>
          <c:yMode val="edge"/>
          <c:x val="0.29920521402714573"/>
          <c:y val="6.8893112498868675E-2"/>
        </c:manualLayout>
      </c:layout>
      <c:overlay val="0"/>
      <c:spPr>
        <a:noFill/>
        <a:ln w="254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2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2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325568"/>
        <c:axId val="300800768"/>
      </c:barChart>
      <c:catAx>
        <c:axId val="19332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300800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0800768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93325568"/>
        <c:crosses val="autoZero"/>
        <c:crossBetween val="between"/>
      </c:valAx>
      <c:spPr>
        <a:noFill/>
        <a:ln w="25404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2021-06-27T14:46:00Z</dcterms:created>
  <dcterms:modified xsi:type="dcterms:W3CDTF">2021-06-27T14:46:00Z</dcterms:modified>
</cp:coreProperties>
</file>